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5" w:type="dxa"/>
        <w:jc w:val="center"/>
        <w:tblLook w:val="01E0" w:firstRow="1" w:lastRow="1" w:firstColumn="1" w:lastColumn="1" w:noHBand="0" w:noVBand="0"/>
      </w:tblPr>
      <w:tblGrid>
        <w:gridCol w:w="6276"/>
        <w:gridCol w:w="6269"/>
      </w:tblGrid>
      <w:tr w:rsidR="00A4191F" w:rsidRPr="00296115" w:rsidTr="000A7DF1">
        <w:trPr>
          <w:trHeight w:val="599"/>
          <w:jc w:val="center"/>
        </w:trPr>
        <w:tc>
          <w:tcPr>
            <w:tcW w:w="6276" w:type="dxa"/>
            <w:shd w:val="clear" w:color="auto" w:fill="auto"/>
          </w:tcPr>
          <w:p w:rsidR="00A4191F" w:rsidRPr="0084725A" w:rsidRDefault="00A4191F" w:rsidP="00083DC9">
            <w:pPr>
              <w:ind w:left="1021"/>
              <w:jc w:val="center"/>
              <w:rPr>
                <w:lang w:val="pt-BR"/>
              </w:rPr>
            </w:pPr>
            <w:r>
              <w:rPr>
                <w:lang w:val="pt-BR"/>
              </w:rPr>
              <w:t>HỒNG ĐỨC UNIVERSITY</w:t>
            </w:r>
          </w:p>
          <w:p w:rsidR="00A4191F" w:rsidRPr="003049E5" w:rsidRDefault="00A4191F" w:rsidP="00083DC9">
            <w:pPr>
              <w:ind w:left="1021"/>
              <w:jc w:val="center"/>
              <w:rPr>
                <w:b/>
              </w:rPr>
            </w:pPr>
            <w:r>
              <w:rPr>
                <w:b/>
              </w:rPr>
              <w:t>Faculty of Foreign Languages</w:t>
            </w:r>
          </w:p>
          <w:p w:rsidR="000A7DF1" w:rsidRDefault="000A7DF1" w:rsidP="00083DC9">
            <w:pPr>
              <w:ind w:left="1021"/>
              <w:jc w:val="center"/>
              <w:rPr>
                <w:b/>
                <w:u w:val="single"/>
              </w:rPr>
            </w:pPr>
            <w:r w:rsidRPr="000A7DF1">
              <w:rPr>
                <w:b/>
                <w:u w:val="single"/>
              </w:rPr>
              <w:t xml:space="preserve">Division of Linguistics - Culture and </w:t>
            </w:r>
          </w:p>
          <w:p w:rsidR="00A4191F" w:rsidRPr="003049E5" w:rsidRDefault="000A7DF1" w:rsidP="00083DC9">
            <w:pPr>
              <w:ind w:left="1021"/>
              <w:jc w:val="center"/>
              <w:rPr>
                <w:u w:val="single"/>
              </w:rPr>
            </w:pPr>
            <w:r w:rsidRPr="000A7DF1">
              <w:rPr>
                <w:b/>
                <w:u w:val="single"/>
              </w:rPr>
              <w:t>English Language Teaching Methodologies</w:t>
            </w:r>
          </w:p>
        </w:tc>
        <w:tc>
          <w:tcPr>
            <w:tcW w:w="6269" w:type="dxa"/>
            <w:shd w:val="clear" w:color="auto" w:fill="auto"/>
          </w:tcPr>
          <w:p w:rsidR="00A4191F" w:rsidRPr="007F56D6" w:rsidRDefault="00A4191F" w:rsidP="00083DC9">
            <w:pPr>
              <w:jc w:val="center"/>
              <w:rPr>
                <w:rFonts w:ascii="Rockwell Extra Bold" w:hAnsi="Rockwell Extra Bold"/>
                <w:b/>
              </w:rPr>
            </w:pPr>
            <w:r w:rsidRPr="007F56D6">
              <w:rPr>
                <w:rFonts w:ascii="Rockwell Extra Bold" w:hAnsi="Rockwell Extra Bold"/>
                <w:b/>
              </w:rPr>
              <w:t>SYLLABUS</w:t>
            </w:r>
          </w:p>
          <w:p w:rsidR="00A4191F" w:rsidRPr="007F56D6" w:rsidRDefault="00A4191F" w:rsidP="00083DC9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 </w:t>
            </w:r>
            <w:bookmarkStart w:id="0" w:name="_GoBack"/>
            <w:r w:rsidR="00541EEE">
              <w:rPr>
                <w:rFonts w:ascii="Berlin Sans FB Demi" w:hAnsi="Berlin Sans FB Demi"/>
                <w:b/>
              </w:rPr>
              <w:t>Engli</w:t>
            </w:r>
            <w:r w:rsidR="00541EEE" w:rsidRPr="00A4191F">
              <w:rPr>
                <w:rFonts w:ascii="Berlin Sans FB Demi" w:hAnsi="Berlin Sans FB Demi"/>
                <w:b/>
              </w:rPr>
              <w:t>sh</w:t>
            </w:r>
            <w:r>
              <w:rPr>
                <w:rFonts w:ascii="Berlin Sans FB Demi" w:hAnsi="Berlin Sans FB Demi"/>
                <w:b/>
              </w:rPr>
              <w:t xml:space="preserve"> Pronunciation Practice</w:t>
            </w:r>
            <w:bookmarkEnd w:id="0"/>
          </w:p>
          <w:p w:rsidR="00A4191F" w:rsidRPr="003049E5" w:rsidRDefault="00A4191F" w:rsidP="00083DC9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  <w:r w:rsidRPr="003049E5">
              <w:rPr>
                <w:b/>
              </w:rPr>
              <w:t>: 1</w:t>
            </w:r>
            <w:r>
              <w:rPr>
                <w:b/>
              </w:rPr>
              <w:t>32009</w:t>
            </w:r>
          </w:p>
        </w:tc>
      </w:tr>
    </w:tbl>
    <w:p w:rsidR="00A4191F" w:rsidRPr="00296115" w:rsidRDefault="00A4191F" w:rsidP="00A4191F"/>
    <w:p w:rsidR="00A4191F" w:rsidRDefault="00A4191F" w:rsidP="00A4191F"/>
    <w:p w:rsidR="00A4191F" w:rsidRPr="00117C3A" w:rsidRDefault="00A4191F" w:rsidP="00A4191F">
      <w:pPr>
        <w:rPr>
          <w:b/>
          <w:color w:val="000000"/>
          <w:shd w:val="clear" w:color="auto" w:fill="FFFFFF"/>
        </w:rPr>
      </w:pPr>
      <w:r>
        <w:rPr>
          <w:b/>
        </w:rPr>
        <w:t>I.</w:t>
      </w:r>
      <w:r w:rsidRPr="00117C3A">
        <w:rPr>
          <w:b/>
        </w:rPr>
        <w:t xml:space="preserve"> </w:t>
      </w:r>
      <w:hyperlink r:id="rId7" w:anchor="general-information-section" w:history="1">
        <w:r>
          <w:rPr>
            <w:b/>
            <w:color w:val="000000"/>
            <w:shd w:val="clear" w:color="auto" w:fill="FFFFFF"/>
          </w:rPr>
          <w:t>General i</w:t>
        </w:r>
        <w:r w:rsidRPr="00117C3A">
          <w:rPr>
            <w:b/>
            <w:color w:val="000000"/>
            <w:shd w:val="clear" w:color="auto" w:fill="FFFFFF"/>
          </w:rPr>
          <w:t>nformation</w:t>
        </w:r>
      </w:hyperlink>
    </w:p>
    <w:p w:rsidR="00A4191F" w:rsidRPr="00D5590B" w:rsidRDefault="00A4191F" w:rsidP="00A4191F">
      <w:r w:rsidRPr="00D5590B">
        <w:t>- Credit points:</w:t>
      </w:r>
      <w:r>
        <w:t xml:space="preserve"> 2 (18, 12, 12</w:t>
      </w:r>
      <w:r w:rsidRPr="00B05F93">
        <w:t>)</w:t>
      </w:r>
    </w:p>
    <w:p w:rsidR="00A4191F" w:rsidRDefault="00A4191F" w:rsidP="00A4191F">
      <w:r w:rsidRPr="00D5590B">
        <w:t>- Prerequisites:</w:t>
      </w:r>
      <w:r>
        <w:t xml:space="preserve"> No</w:t>
      </w:r>
    </w:p>
    <w:p w:rsidR="00A4191F" w:rsidRDefault="00A4191F" w:rsidP="00A4191F">
      <w:r>
        <w:t xml:space="preserve">- </w:t>
      </w:r>
      <w:r w:rsidRPr="00CF1F4A">
        <w:t xml:space="preserve">Semester: </w:t>
      </w:r>
      <w:r>
        <w:t>2</w:t>
      </w:r>
    </w:p>
    <w:p w:rsidR="00A4191F" w:rsidRDefault="00A4191F" w:rsidP="00A4191F">
      <w:pPr>
        <w:spacing w:before="120"/>
        <w:rPr>
          <w:b/>
        </w:rPr>
      </w:pPr>
      <w:r>
        <w:rPr>
          <w:b/>
        </w:rPr>
        <w:t xml:space="preserve">II. Course description </w:t>
      </w:r>
    </w:p>
    <w:p w:rsidR="00D14A10" w:rsidRDefault="00A4191F" w:rsidP="00A4191F">
      <w:pPr>
        <w:jc w:val="both"/>
      </w:pPr>
      <w:r w:rsidRPr="00901615">
        <w:rPr>
          <w:b/>
          <w:i/>
        </w:rPr>
        <w:t>Content</w:t>
      </w:r>
      <w:r>
        <w:t xml:space="preserve">: </w:t>
      </w:r>
      <w:r w:rsidRPr="00930850">
        <w:t xml:space="preserve">The course </w:t>
      </w:r>
      <w:r>
        <w:t>deals wit</w:t>
      </w:r>
      <w:r w:rsidRPr="00930850">
        <w:t>h</w:t>
      </w:r>
      <w:r w:rsidR="00D14A10">
        <w:t xml:space="preserve"> basic knowledge of English pronunciation:</w:t>
      </w:r>
      <w:r w:rsidR="00D14A10" w:rsidRPr="00D14A10">
        <w:t xml:space="preserve"> vowels and consonants, distinguish long, short, stop, fricative, explosive, etc. diphthongs, triple vowels, slip sounds, swallowing phenomena, assimilation of sounds in English. </w:t>
      </w:r>
      <w:r w:rsidR="00D14A10">
        <w:t>It deals wit</w:t>
      </w:r>
      <w:r w:rsidR="00D14A10" w:rsidRPr="00D14A10">
        <w:t>h</w:t>
      </w:r>
      <w:r w:rsidR="00D14A10">
        <w:t xml:space="preserve"> </w:t>
      </w:r>
      <w:r w:rsidR="00D14A10" w:rsidRPr="00D14A10">
        <w:t>how to pronounce and read the final consonant</w:t>
      </w:r>
      <w:r w:rsidR="00D14A10">
        <w:t>,</w:t>
      </w:r>
      <w:r w:rsidR="00D14A10" w:rsidRPr="00D14A10">
        <w:t xml:space="preserve"> pronounce word stress: nouns, verbs, adjectives etc... and sentence intonation. Practice natural intonation of some simple sounds such as questions, greetings, statements, etc.</w:t>
      </w:r>
    </w:p>
    <w:p w:rsidR="00D14A10" w:rsidRDefault="00A4191F" w:rsidP="00A4191F">
      <w:pPr>
        <w:jc w:val="both"/>
      </w:pPr>
      <w:r w:rsidRPr="00901615">
        <w:rPr>
          <w:b/>
          <w:i/>
        </w:rPr>
        <w:t>Acquired competence</w:t>
      </w:r>
      <w:r w:rsidRPr="00930850">
        <w:t xml:space="preserve">: Learners </w:t>
      </w:r>
      <w:r>
        <w:t>ar</w:t>
      </w:r>
      <w:r w:rsidR="00D14A10">
        <w:t>e able to</w:t>
      </w:r>
      <w:r w:rsidR="00D14A10" w:rsidRPr="00D14A10">
        <w:t xml:space="preserve"> recognize and pronounce English sounds correctly, transcribe words when listening to their sounds, and distinguish phenomena such as swallowing sounds, connecting sounds, etc... in English.</w:t>
      </w:r>
    </w:p>
    <w:p w:rsidR="00A4191F" w:rsidRDefault="00A4191F" w:rsidP="00A4191F">
      <w:pPr>
        <w:jc w:val="both"/>
        <w:rPr>
          <w:b/>
        </w:rPr>
      </w:pPr>
      <w:r>
        <w:rPr>
          <w:b/>
        </w:rPr>
        <w:t xml:space="preserve">III. </w:t>
      </w:r>
      <w:r w:rsidRPr="000F1DB3">
        <w:rPr>
          <w:b/>
        </w:rPr>
        <w:t>Learning Outcomes</w:t>
      </w:r>
    </w:p>
    <w:p w:rsidR="00A4191F" w:rsidRDefault="00A4191F" w:rsidP="00A4191F">
      <w:pPr>
        <w:jc w:val="both"/>
        <w:rPr>
          <w:bCs/>
          <w:szCs w:val="26"/>
          <w:lang w:val="nl-NL" w:bidi="en-US"/>
        </w:rPr>
      </w:pPr>
      <w:r w:rsidRPr="00D37DAD">
        <w:rPr>
          <w:b/>
          <w:bCs/>
          <w:i/>
          <w:szCs w:val="26"/>
          <w:lang w:val="nl-NL" w:bidi="en-US"/>
        </w:rPr>
        <w:t>Knowledge</w:t>
      </w:r>
      <w:r>
        <w:rPr>
          <w:bCs/>
          <w:szCs w:val="26"/>
          <w:lang w:val="nl-NL" w:bidi="en-US"/>
        </w:rPr>
        <w:t xml:space="preserve">: </w:t>
      </w:r>
      <w:r w:rsidRPr="00674093">
        <w:rPr>
          <w:bCs/>
          <w:szCs w:val="26"/>
          <w:lang w:val="nl-NL" w:bidi="en-US"/>
        </w:rPr>
        <w:t>Learners have knowledge about problems related to phonetics and phonemes</w:t>
      </w:r>
      <w:r>
        <w:rPr>
          <w:bCs/>
          <w:szCs w:val="26"/>
          <w:lang w:val="nl-NL" w:bidi="en-US"/>
        </w:rPr>
        <w:t xml:space="preserve">. </w:t>
      </w:r>
      <w:r w:rsidRPr="00674093">
        <w:rPr>
          <w:bCs/>
          <w:szCs w:val="26"/>
          <w:lang w:val="nl-NL" w:bidi="en-US"/>
        </w:rPr>
        <w:t>Learners understand how to pronounce English sounds in theory and practice</w:t>
      </w:r>
      <w:r>
        <w:rPr>
          <w:bCs/>
          <w:szCs w:val="26"/>
          <w:lang w:val="nl-NL" w:bidi="en-US"/>
        </w:rPr>
        <w:t xml:space="preserve">. </w:t>
      </w:r>
      <w:r w:rsidRPr="00674093">
        <w:rPr>
          <w:bCs/>
          <w:szCs w:val="26"/>
          <w:lang w:val="nl-NL" w:bidi="en-US"/>
        </w:rPr>
        <w:t>Learners know a number of issues related to phonetics and phonology such as phonetic parts: vocal cords, palate....</w:t>
      </w:r>
    </w:p>
    <w:p w:rsidR="00A4191F" w:rsidRDefault="00A4191F" w:rsidP="00A4191F">
      <w:pPr>
        <w:jc w:val="both"/>
        <w:rPr>
          <w:bCs/>
          <w:szCs w:val="26"/>
          <w:lang w:val="nl-NL" w:bidi="en-US"/>
        </w:rPr>
      </w:pPr>
      <w:r>
        <w:rPr>
          <w:b/>
          <w:bCs/>
          <w:i/>
          <w:szCs w:val="26"/>
          <w:lang w:val="nl-NL" w:bidi="en-US"/>
        </w:rPr>
        <w:t xml:space="preserve">Skills: </w:t>
      </w:r>
      <w:r>
        <w:rPr>
          <w:bCs/>
          <w:szCs w:val="26"/>
          <w:lang w:val="nl-NL" w:bidi="en-US"/>
        </w:rPr>
        <w:t>Le</w:t>
      </w:r>
      <w:r w:rsidRPr="00311283">
        <w:rPr>
          <w:bCs/>
          <w:szCs w:val="26"/>
          <w:lang w:val="nl-NL" w:bidi="en-US"/>
        </w:rPr>
        <w:t xml:space="preserve">arners are able to </w:t>
      </w:r>
      <w:r w:rsidRPr="00674093">
        <w:rPr>
          <w:bCs/>
          <w:szCs w:val="26"/>
          <w:lang w:val="nl-NL" w:bidi="en-US"/>
        </w:rPr>
        <w:t>pronounce distinct sounds correctly</w:t>
      </w:r>
      <w:r>
        <w:rPr>
          <w:bCs/>
          <w:szCs w:val="26"/>
          <w:lang w:val="nl-NL" w:bidi="en-US"/>
        </w:rPr>
        <w:t xml:space="preserve">. </w:t>
      </w:r>
      <w:r w:rsidRPr="00674093">
        <w:rPr>
          <w:bCs/>
          <w:szCs w:val="26"/>
          <w:lang w:val="nl-NL" w:bidi="en-US"/>
        </w:rPr>
        <w:t>Learners can pronounce correctly word stress, sentence stress and intonation in the dialogue.</w:t>
      </w:r>
    </w:p>
    <w:p w:rsidR="00A4191F" w:rsidRPr="008C383A" w:rsidRDefault="00A4191F" w:rsidP="00A4191F">
      <w:pPr>
        <w:jc w:val="both"/>
        <w:rPr>
          <w:b/>
          <w:bCs/>
          <w:szCs w:val="26"/>
          <w:lang w:val="nl-NL" w:bidi="en-US"/>
        </w:rPr>
      </w:pPr>
      <w:r>
        <w:rPr>
          <w:b/>
          <w:bCs/>
          <w:i/>
          <w:szCs w:val="26"/>
          <w:lang w:val="nl-NL" w:bidi="en-US"/>
        </w:rPr>
        <w:t xml:space="preserve">Attitude: </w:t>
      </w:r>
      <w:r w:rsidRPr="008C383A">
        <w:rPr>
          <w:bCs/>
          <w:szCs w:val="26"/>
          <w:lang w:val="nl-NL" w:bidi="en-US"/>
        </w:rPr>
        <w:t>Learners have a serious, self-conscious,</w:t>
      </w:r>
      <w:r>
        <w:rPr>
          <w:bCs/>
          <w:szCs w:val="26"/>
          <w:lang w:val="nl-NL" w:bidi="en-US"/>
        </w:rPr>
        <w:t xml:space="preserve"> and</w:t>
      </w:r>
      <w:r w:rsidRPr="008C383A">
        <w:rPr>
          <w:bCs/>
          <w:szCs w:val="26"/>
          <w:lang w:val="nl-NL" w:bidi="en-US"/>
        </w:rPr>
        <w:t xml:space="preserve"> r</w:t>
      </w:r>
      <w:r>
        <w:rPr>
          <w:bCs/>
          <w:szCs w:val="26"/>
          <w:lang w:val="nl-NL" w:bidi="en-US"/>
        </w:rPr>
        <w:t xml:space="preserve">esponsible attitude in learning. </w:t>
      </w:r>
      <w:r w:rsidRPr="008C383A">
        <w:rPr>
          <w:bCs/>
          <w:szCs w:val="26"/>
          <w:lang w:val="nl-NL" w:bidi="en-US"/>
        </w:rPr>
        <w:t>Learners have a spirit of self-improvement.</w:t>
      </w:r>
    </w:p>
    <w:p w:rsidR="00A4191F" w:rsidRDefault="00A4191F" w:rsidP="00A4191F">
      <w:pPr>
        <w:spacing w:before="120"/>
        <w:rPr>
          <w:b/>
        </w:rPr>
      </w:pPr>
      <w:r>
        <w:rPr>
          <w:b/>
        </w:rPr>
        <w:t xml:space="preserve">IV. </w:t>
      </w:r>
      <w:r w:rsidRPr="00F4103A">
        <w:rPr>
          <w:b/>
        </w:rPr>
        <w:t>Textbook</w:t>
      </w:r>
      <w:r>
        <w:rPr>
          <w:b/>
        </w:rPr>
        <w:t>s</w:t>
      </w:r>
      <w:r w:rsidRPr="00F4103A">
        <w:rPr>
          <w:b/>
        </w:rPr>
        <w:t xml:space="preserve"> &amp; Materials</w:t>
      </w:r>
    </w:p>
    <w:p w:rsidR="00A4191F" w:rsidRPr="00C37FDE" w:rsidRDefault="00A4191F" w:rsidP="00A4191F">
      <w:pPr>
        <w:rPr>
          <w:b/>
          <w:bCs/>
          <w:i/>
          <w:lang w:val="en-GB"/>
        </w:rPr>
      </w:pPr>
      <w:r w:rsidRPr="00C37FDE">
        <w:rPr>
          <w:b/>
          <w:bCs/>
          <w:i/>
          <w:lang w:val="en-GB"/>
        </w:rPr>
        <w:t xml:space="preserve">* </w:t>
      </w:r>
      <w:bookmarkStart w:id="1" w:name="_Hlk87649758"/>
      <w:r w:rsidRPr="00C37FDE">
        <w:rPr>
          <w:b/>
          <w:bCs/>
          <w:i/>
          <w:lang w:val="en-GB"/>
        </w:rPr>
        <w:t>Required texts:</w:t>
      </w:r>
    </w:p>
    <w:bookmarkEnd w:id="1"/>
    <w:p w:rsidR="00751B5E" w:rsidRPr="009D1B9E" w:rsidRDefault="00A4191F" w:rsidP="00751B5E">
      <w:pPr>
        <w:spacing w:line="288" w:lineRule="auto"/>
        <w:rPr>
          <w:bCs/>
        </w:rPr>
      </w:pPr>
      <w:r w:rsidRPr="00A402A8">
        <w:rPr>
          <w:lang w:bidi="en-US"/>
        </w:rPr>
        <w:t>1.</w:t>
      </w:r>
      <w:r>
        <w:rPr>
          <w:sz w:val="26"/>
          <w:szCs w:val="26"/>
        </w:rPr>
        <w:t xml:space="preserve">       </w:t>
      </w:r>
      <w:r w:rsidRPr="0036535E">
        <w:rPr>
          <w:sz w:val="26"/>
          <w:szCs w:val="26"/>
        </w:rPr>
        <w:t xml:space="preserve"> </w:t>
      </w:r>
      <w:r w:rsidR="00751B5E">
        <w:rPr>
          <w:bCs/>
        </w:rPr>
        <w:t>Jonathan</w:t>
      </w:r>
      <w:r w:rsidR="00751B5E" w:rsidRPr="009D1B9E">
        <w:rPr>
          <w:bCs/>
        </w:rPr>
        <w:t xml:space="preserve">, M. </w:t>
      </w:r>
      <w:r w:rsidR="00751B5E">
        <w:rPr>
          <w:bCs/>
        </w:rPr>
        <w:t xml:space="preserve">(2007) </w:t>
      </w:r>
      <w:r w:rsidR="00751B5E" w:rsidRPr="00751B5E">
        <w:rPr>
          <w:b/>
          <w:bCs/>
          <w:i/>
        </w:rPr>
        <w:t>English Pronunciation in Use</w:t>
      </w:r>
      <w:r w:rsidR="00751B5E" w:rsidRPr="00751B5E">
        <w:rPr>
          <w:b/>
          <w:bCs/>
        </w:rPr>
        <w:t>.</w:t>
      </w:r>
      <w:r w:rsidR="00751B5E" w:rsidRPr="00F66FE1">
        <w:rPr>
          <w:bCs/>
        </w:rPr>
        <w:t xml:space="preserve"> </w:t>
      </w:r>
      <w:r w:rsidR="00751B5E" w:rsidRPr="009D1B9E">
        <w:rPr>
          <w:bCs/>
        </w:rPr>
        <w:t>Cambridge.</w:t>
      </w:r>
    </w:p>
    <w:p w:rsidR="00A4191F" w:rsidRPr="00ED0B6B" w:rsidRDefault="00A4191F" w:rsidP="00751B5E">
      <w:pPr>
        <w:spacing w:line="312" w:lineRule="auto"/>
        <w:jc w:val="both"/>
        <w:rPr>
          <w:b/>
          <w:bCs/>
          <w:i/>
          <w:lang w:val="en-GB"/>
        </w:rPr>
      </w:pPr>
      <w:r w:rsidRPr="00ED0B6B">
        <w:rPr>
          <w:b/>
          <w:bCs/>
          <w:i/>
          <w:lang w:val="en-GB"/>
        </w:rPr>
        <w:t xml:space="preserve">* </w:t>
      </w:r>
      <w:bookmarkStart w:id="2" w:name="_Hlk87649767"/>
      <w:r w:rsidRPr="00ED0B6B">
        <w:rPr>
          <w:b/>
          <w:bCs/>
          <w:i/>
          <w:lang w:val="en-GB"/>
        </w:rPr>
        <w:t>Recommended readings:</w:t>
      </w:r>
      <w:bookmarkEnd w:id="2"/>
      <w:r w:rsidRPr="00A402A8">
        <w:rPr>
          <w:b/>
          <w:i/>
          <w:lang w:bidi="en-US"/>
        </w:rPr>
        <w:t xml:space="preserve">  </w:t>
      </w:r>
    </w:p>
    <w:p w:rsidR="00751B5E" w:rsidRPr="009D1B9E" w:rsidRDefault="00751B5E" w:rsidP="00751B5E">
      <w:pPr>
        <w:spacing w:line="312" w:lineRule="auto"/>
        <w:jc w:val="both"/>
      </w:pPr>
      <w:r w:rsidRPr="009D1B9E">
        <w:rPr>
          <w:rStyle w:val="a-size-large"/>
        </w:rPr>
        <w:t xml:space="preserve">[1]. Cameron, S. </w:t>
      </w:r>
      <w:r>
        <w:rPr>
          <w:rStyle w:val="a-size-large"/>
        </w:rPr>
        <w:t xml:space="preserve">(2018) </w:t>
      </w:r>
      <w:r w:rsidRPr="00751B5E">
        <w:rPr>
          <w:rStyle w:val="a-size-large"/>
          <w:b/>
          <w:i/>
        </w:rPr>
        <w:t>Perfecting Your English Pronunciation</w:t>
      </w:r>
      <w:r w:rsidRPr="009D1B9E">
        <w:rPr>
          <w:rStyle w:val="a-size-large"/>
        </w:rPr>
        <w:t>.</w:t>
      </w:r>
      <w:r>
        <w:rPr>
          <w:rStyle w:val="a-size-large"/>
        </w:rPr>
        <w:t xml:space="preserve"> </w:t>
      </w:r>
      <w:r w:rsidRPr="009D1B9E">
        <w:t>McGraw-Hill.</w:t>
      </w:r>
    </w:p>
    <w:p w:rsidR="00751B5E" w:rsidRPr="009D1B9E" w:rsidRDefault="00751B5E" w:rsidP="00751B5E">
      <w:pPr>
        <w:spacing w:line="288" w:lineRule="auto"/>
        <w:rPr>
          <w:rStyle w:val="a-size-large"/>
        </w:rPr>
      </w:pPr>
      <w:r w:rsidRPr="009D1B9E">
        <w:t xml:space="preserve">[2]. </w:t>
      </w:r>
      <w:r>
        <w:rPr>
          <w:rStyle w:val="a-declarative"/>
        </w:rPr>
        <w:t xml:space="preserve">Nguyễn Quốc Hùng (2009) </w:t>
      </w:r>
      <w:r w:rsidRPr="00751B5E">
        <w:rPr>
          <w:rStyle w:val="a-declarative"/>
          <w:b/>
          <w:i/>
        </w:rPr>
        <w:t>Kỹ thuật luyện phát âm tiếng Anh Mỹ</w:t>
      </w:r>
      <w:r w:rsidRPr="00751B5E">
        <w:rPr>
          <w:b/>
          <w:i/>
        </w:rPr>
        <w:t xml:space="preserve"> </w:t>
      </w:r>
      <w:r w:rsidRPr="00751B5E">
        <w:rPr>
          <w:rStyle w:val="a-size-large"/>
          <w:b/>
          <w:i/>
        </w:rPr>
        <w:t>Cambridge</w:t>
      </w:r>
      <w:r>
        <w:rPr>
          <w:rStyle w:val="a-size-large"/>
        </w:rPr>
        <w:t xml:space="preserve"> . NXB Tổng hợp Tp Hồ Chí Minh</w:t>
      </w:r>
    </w:p>
    <w:p w:rsidR="00751B5E" w:rsidRPr="00AF175D" w:rsidRDefault="00751B5E" w:rsidP="00751B5E">
      <w:pPr>
        <w:jc w:val="both"/>
        <w:rPr>
          <w:rFonts w:eastAsia="SimSun"/>
          <w:sz w:val="26"/>
          <w:szCs w:val="26"/>
          <w:lang w:eastAsia="zh-CN"/>
        </w:rPr>
      </w:pPr>
      <w:r w:rsidRPr="009D1B9E">
        <w:t xml:space="preserve">[3]. Baker, A. </w:t>
      </w:r>
      <w:r w:rsidRPr="00751B5E">
        <w:rPr>
          <w:b/>
          <w:i/>
        </w:rPr>
        <w:t>Ship or Sheep?.</w:t>
      </w:r>
      <w:r w:rsidRPr="00F66FE1">
        <w:t xml:space="preserve"> </w:t>
      </w:r>
      <w:r w:rsidRPr="009D1B9E">
        <w:t>Cambridge: Cambridge University Press.</w:t>
      </w:r>
    </w:p>
    <w:p w:rsidR="00A4191F" w:rsidRDefault="00A4191F" w:rsidP="00A4191F">
      <w:pPr>
        <w:widowControl w:val="0"/>
        <w:ind w:left="283"/>
        <w:jc w:val="both"/>
        <w:rPr>
          <w:b/>
        </w:rPr>
      </w:pPr>
      <w:r>
        <w:rPr>
          <w:b/>
        </w:rPr>
        <w:t>V. Schedule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804"/>
      </w:tblGrid>
      <w:tr w:rsidR="00A4191F" w:rsidRPr="00DF21AD" w:rsidTr="00083DC9">
        <w:trPr>
          <w:trHeight w:val="28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91F" w:rsidRPr="008027B0" w:rsidRDefault="00A4191F" w:rsidP="00083DC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A4191F" w:rsidRPr="008027B0" w:rsidRDefault="00A4191F" w:rsidP="00083DC9">
            <w:pPr>
              <w:jc w:val="center"/>
              <w:rPr>
                <w:b/>
                <w:lang w:val="en-GB"/>
              </w:rPr>
            </w:pPr>
            <w:r w:rsidRPr="008027B0">
              <w:rPr>
                <w:b/>
                <w:lang w:val="en-GB"/>
              </w:rPr>
              <w:t>Topics</w:t>
            </w:r>
          </w:p>
        </w:tc>
      </w:tr>
      <w:tr w:rsidR="00A4191F" w:rsidRPr="00DF21AD" w:rsidTr="00083DC9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 w:rsidRPr="00DF21AD">
              <w:rPr>
                <w:lang w:val="en-GB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C4823" w:rsidRDefault="003C4823" w:rsidP="003C4823">
            <w:pPr>
              <w:ind w:firstLine="567"/>
              <w:jc w:val="both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AF175D">
              <w:rPr>
                <w:rFonts w:eastAsia="SimSun"/>
                <w:b/>
                <w:sz w:val="26"/>
                <w:szCs w:val="26"/>
                <w:lang w:eastAsia="zh-CN"/>
              </w:rPr>
              <w:t>Introdu</w:t>
            </w:r>
            <w:r>
              <w:rPr>
                <w:rFonts w:eastAsia="SimSun"/>
                <w:b/>
                <w:sz w:val="26"/>
                <w:szCs w:val="26"/>
                <w:lang w:eastAsia="zh-CN"/>
              </w:rPr>
              <w:t xml:space="preserve">ction </w:t>
            </w:r>
          </w:p>
          <w:p w:rsidR="003C4823" w:rsidRPr="007C01FA" w:rsidRDefault="003C4823" w:rsidP="003C4823">
            <w:pPr>
              <w:ind w:firstLine="567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7C01FA">
              <w:rPr>
                <w:rFonts w:eastAsia="SimSun"/>
                <w:sz w:val="26"/>
                <w:szCs w:val="26"/>
                <w:lang w:eastAsia="zh-CN"/>
              </w:rPr>
              <w:t>Spelling and pronunciation</w:t>
            </w:r>
          </w:p>
          <w:p w:rsidR="00A4191F" w:rsidRPr="00E524DC" w:rsidRDefault="00A4191F" w:rsidP="00083DC9">
            <w:pPr>
              <w:spacing w:line="312" w:lineRule="auto"/>
              <w:ind w:firstLine="480"/>
              <w:rPr>
                <w:sz w:val="26"/>
                <w:szCs w:val="26"/>
              </w:rPr>
            </w:pP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C4823" w:rsidRPr="00AF175D" w:rsidRDefault="003C4823" w:rsidP="003C4823">
            <w:pPr>
              <w:spacing w:line="312" w:lineRule="auto"/>
              <w:ind w:firstLine="48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A: Sound and spelling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/i:/ 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 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ɪ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/u:/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 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ʊ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ɑ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:/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 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ʌ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/ 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ɒ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ɔ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:/</w:t>
            </w:r>
          </w:p>
          <w:p w:rsidR="00A4191F" w:rsidRPr="006E2C0C" w:rsidRDefault="00A4191F" w:rsidP="00083DC9">
            <w:pPr>
              <w:spacing w:line="312" w:lineRule="auto"/>
              <w:ind w:firstLine="480"/>
              <w:rPr>
                <w:sz w:val="26"/>
                <w:szCs w:val="26"/>
                <w:lang w:val="vi-VN"/>
              </w:rPr>
            </w:pPr>
          </w:p>
          <w:p w:rsidR="00A4191F" w:rsidRPr="00DF21AD" w:rsidRDefault="00A4191F" w:rsidP="00083DC9">
            <w:pPr>
              <w:rPr>
                <w:lang w:val="en-GB"/>
              </w:rPr>
            </w:pP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 e 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/æ/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ɜ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:/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ɪə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/e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ə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/e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ɪ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/, /a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ɪ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ɔɪ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</w:p>
          <w:p w:rsidR="00A4191F" w:rsidRPr="00E524DC" w:rsidRDefault="00A4191F" w:rsidP="003C4823">
            <w:pPr>
              <w:spacing w:line="312" w:lineRule="auto"/>
              <w:ind w:left="1755"/>
              <w:rPr>
                <w:sz w:val="26"/>
                <w:szCs w:val="26"/>
                <w:lang w:val="vi-VN"/>
              </w:rPr>
            </w:pPr>
          </w:p>
        </w:tc>
      </w:tr>
      <w:tr w:rsidR="00A4191F" w:rsidRPr="00DF21AD" w:rsidTr="00083DC9">
        <w:trPr>
          <w:trHeight w:val="298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əʊ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/a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ʊ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 /p/ 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/b/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/t/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/d/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/k/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/g/</w:t>
            </w:r>
          </w:p>
          <w:p w:rsidR="00A4191F" w:rsidRPr="00E524DC" w:rsidRDefault="00A4191F" w:rsidP="003C4823">
            <w:pPr>
              <w:pStyle w:val="ListParagraph"/>
              <w:ind w:left="1755"/>
              <w:rPr>
                <w:lang w:val="en-GB"/>
              </w:rPr>
            </w:pP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/f/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/v/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/θ/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/ð/</w:t>
            </w:r>
          </w:p>
          <w:p w:rsidR="003C4823" w:rsidRDefault="003C4823" w:rsidP="003C4823">
            <w:pPr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/s/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/z/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 /∫/ 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w:t>ʒ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</w:t>
            </w:r>
          </w:p>
          <w:p w:rsidR="00A4191F" w:rsidRPr="00E524DC" w:rsidRDefault="00A4191F" w:rsidP="003C4823">
            <w:pPr>
              <w:spacing w:line="312" w:lineRule="auto"/>
              <w:ind w:left="1755"/>
              <w:rPr>
                <w:sz w:val="26"/>
                <w:szCs w:val="26"/>
                <w:lang w:val="vi-VN"/>
              </w:rPr>
            </w:pP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3C4823" w:rsidRPr="00AF175D" w:rsidRDefault="003C4823" w:rsidP="003C4823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 t∫ 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 d</w:t>
            </w:r>
            <w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w:t>ʒ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/m/, /n/</w:t>
            </w:r>
            <w:r w:rsidRPr="007C01FA">
              <w:rPr>
                <w:rFonts w:eastAsia="SimSun"/>
                <w:sz w:val="26"/>
                <w:szCs w:val="26"/>
                <w:lang w:eastAsia="zh-CN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 η 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/h/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 l /</w:t>
            </w:r>
          </w:p>
          <w:p w:rsidR="00A4191F" w:rsidRPr="00D7490C" w:rsidRDefault="00A4191F" w:rsidP="00083DC9">
            <w:pPr>
              <w:rPr>
                <w:b/>
                <w:lang w:val="en-GB"/>
              </w:rPr>
            </w:pP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3C4823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b/>
                <w:lang w:val="en-GB"/>
              </w:rPr>
              <w:t>Mid course test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/ r /</w:t>
            </w:r>
          </w:p>
          <w:p w:rsidR="003C4823" w:rsidRPr="00AF175D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Sound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/w/ and /j/</w:t>
            </w:r>
          </w:p>
          <w:p w:rsidR="00A4191F" w:rsidRPr="003C4823" w:rsidRDefault="00A4191F" w:rsidP="00083DC9"/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3C4823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Consonant groups in the middle of words</w:t>
            </w:r>
          </w:p>
          <w:p w:rsidR="003C4823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Consonant groups at the beginning of words</w:t>
            </w:r>
          </w:p>
          <w:p w:rsidR="003C4823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Consonant groups at the end of words</w:t>
            </w:r>
          </w:p>
          <w:p w:rsidR="003C4823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Consonant groups across words</w:t>
            </w:r>
          </w:p>
          <w:p w:rsidR="00A4191F" w:rsidRPr="00DF21AD" w:rsidRDefault="00A4191F" w:rsidP="00083DC9">
            <w:pPr>
              <w:rPr>
                <w:lang w:val="en-GB"/>
              </w:rPr>
            </w:pP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3C4823" w:rsidRDefault="003C4823" w:rsidP="003C4823">
            <w:pPr>
              <w:spacing w:line="312" w:lineRule="auto"/>
              <w:ind w:firstLine="48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B: Syllables and words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Syllables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Strong and weak vowels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Stress in two – syllable words</w:t>
            </w:r>
          </w:p>
          <w:p w:rsidR="003C4823" w:rsidRDefault="003C4823" w:rsidP="003C4823">
            <w:pPr>
              <w:jc w:val="both"/>
              <w:rPr>
                <w:b/>
                <w:sz w:val="26"/>
                <w:szCs w:val="26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Stress in compound words</w:t>
            </w:r>
          </w:p>
          <w:p w:rsidR="00A4191F" w:rsidRPr="003C4823" w:rsidRDefault="00A4191F" w:rsidP="00083DC9"/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3C4823" w:rsidRDefault="003C4823" w:rsidP="003C4823">
            <w:pPr>
              <w:spacing w:line="312" w:lineRule="auto"/>
              <w:ind w:firstLine="48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C: Phrases, sentences and grammar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Reading aloud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Linking words together 1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Linking words together 2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Rhythm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Strong and weak form 1</w:t>
            </w:r>
          </w:p>
          <w:p w:rsidR="00A4191F" w:rsidRPr="003C4823" w:rsidRDefault="00A4191F" w:rsidP="00083DC9"/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Pr="00DF21AD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Strong and weak form 2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Strong and weak form 3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Strong and weak form 4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Contractions</w:t>
            </w:r>
          </w:p>
          <w:p w:rsidR="00A4191F" w:rsidRPr="00DF21AD" w:rsidRDefault="00A4191F" w:rsidP="00083DC9">
            <w:pPr>
              <w:rPr>
                <w:lang w:val="en-GB"/>
              </w:rPr>
            </w:pP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12</w:t>
            </w:r>
          </w:p>
        </w:tc>
        <w:tc>
          <w:tcPr>
            <w:tcW w:w="6804" w:type="dxa"/>
            <w:shd w:val="clear" w:color="auto" w:fill="auto"/>
          </w:tcPr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Pronouncing – s endings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Pronouncing past tense</w:t>
            </w:r>
          </w:p>
          <w:p w:rsidR="003C4823" w:rsidRDefault="003C4823" w:rsidP="003C4823">
            <w:pPr>
              <w:spacing w:line="312" w:lineRule="auto"/>
              <w:ind w:firstLine="48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Part D: Conversation</w:t>
            </w:r>
          </w:p>
          <w:p w:rsidR="003C4823" w:rsidRPr="00DC4EF7" w:rsidRDefault="003C4823" w:rsidP="003C4823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Intonation for old and new information</w:t>
            </w:r>
          </w:p>
          <w:p w:rsidR="003C4823" w:rsidRDefault="003C4823" w:rsidP="003C4823">
            <w:pPr>
              <w:jc w:val="both"/>
              <w:rPr>
                <w:b/>
                <w:sz w:val="26"/>
                <w:szCs w:val="26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Intonation in storytelling</w:t>
            </w:r>
          </w:p>
          <w:p w:rsidR="00A4191F" w:rsidRPr="003C4823" w:rsidRDefault="00A4191F" w:rsidP="00083DC9"/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176ECA" w:rsidRPr="00DC4EF7" w:rsidRDefault="00176ECA" w:rsidP="00176ECA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Important words in conversation 1</w:t>
            </w:r>
          </w:p>
          <w:p w:rsidR="00176ECA" w:rsidRPr="00DC4EF7" w:rsidRDefault="00176ECA" w:rsidP="00176ECA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Important words in conversation 2</w:t>
            </w:r>
          </w:p>
          <w:p w:rsidR="00176ECA" w:rsidRPr="00DC4EF7" w:rsidRDefault="00176ECA" w:rsidP="00176ECA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C4EF7">
              <w:rPr>
                <w:rFonts w:eastAsia="SimSun"/>
                <w:sz w:val="26"/>
                <w:szCs w:val="26"/>
                <w:lang w:eastAsia="zh-CN"/>
              </w:rPr>
              <w:t>Intonation in phrases and sentences 1</w:t>
            </w:r>
          </w:p>
          <w:p w:rsidR="00A4191F" w:rsidRPr="00E524DC" w:rsidRDefault="00176ECA" w:rsidP="00176ECA">
            <w:r w:rsidRPr="00DC4EF7">
              <w:rPr>
                <w:rFonts w:eastAsia="SimSun"/>
                <w:sz w:val="26"/>
                <w:szCs w:val="26"/>
                <w:lang w:eastAsia="zh-CN"/>
              </w:rPr>
              <w:t>Inton</w:t>
            </w:r>
            <w:r>
              <w:rPr>
                <w:rFonts w:eastAsia="SimSun"/>
                <w:sz w:val="26"/>
                <w:szCs w:val="26"/>
                <w:lang w:eastAsia="zh-CN"/>
              </w:rPr>
              <w:t>ation in phrases and sentences 2</w:t>
            </w:r>
          </w:p>
        </w:tc>
      </w:tr>
      <w:tr w:rsidR="00A4191F" w:rsidRPr="00DF21AD" w:rsidTr="00083DC9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A4191F" w:rsidRDefault="00A4191F" w:rsidP="00083D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A4191F" w:rsidRPr="00D07DA0" w:rsidRDefault="00176ECA" w:rsidP="00A4191F">
            <w:pPr>
              <w:numPr>
                <w:ilvl w:val="0"/>
                <w:numId w:val="3"/>
              </w:num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Revision</w:t>
            </w:r>
          </w:p>
          <w:p w:rsidR="00A4191F" w:rsidRPr="00AF30FE" w:rsidRDefault="00A4191F" w:rsidP="00083DC9">
            <w:pPr>
              <w:rPr>
                <w:color w:val="000000"/>
              </w:rPr>
            </w:pPr>
          </w:p>
        </w:tc>
      </w:tr>
    </w:tbl>
    <w:p w:rsidR="00A4191F" w:rsidRDefault="00A4191F" w:rsidP="00A4191F">
      <w:pPr>
        <w:rPr>
          <w:b/>
        </w:rPr>
      </w:pPr>
    </w:p>
    <w:p w:rsidR="00A4191F" w:rsidRDefault="00A4191F" w:rsidP="00A4191F">
      <w:pPr>
        <w:rPr>
          <w:b/>
        </w:rPr>
      </w:pPr>
      <w:r>
        <w:rPr>
          <w:b/>
        </w:rPr>
        <w:t xml:space="preserve">VI. </w:t>
      </w:r>
      <w:r w:rsidRPr="00037641">
        <w:rPr>
          <w:b/>
        </w:rPr>
        <w:t>Assessment</w:t>
      </w:r>
    </w:p>
    <w:p w:rsidR="00A4191F" w:rsidRPr="00E234AA" w:rsidRDefault="00A4191F" w:rsidP="00A4191F">
      <w:pPr>
        <w:rPr>
          <w:rStyle w:val="a1"/>
          <w:b/>
          <w:i/>
        </w:rPr>
      </w:pPr>
      <w:r w:rsidRPr="00E234AA">
        <w:rPr>
          <w:rStyle w:val="a1"/>
          <w:b/>
          <w:i/>
        </w:rPr>
        <w:t>1. Course policies</w:t>
      </w:r>
    </w:p>
    <w:p w:rsidR="00A4191F" w:rsidRDefault="00A4191F" w:rsidP="00A4191F">
      <w:pPr>
        <w:jc w:val="both"/>
        <w:rPr>
          <w:color w:val="FF0000"/>
        </w:rPr>
      </w:pPr>
      <w:r w:rsidRPr="00656FF0">
        <w:t xml:space="preserve">Anyone who is absent from class for over 20% of total time will not be allowed to take </w:t>
      </w:r>
      <w:r>
        <w:t>the final</w:t>
      </w:r>
      <w:r w:rsidRPr="00656FF0">
        <w:t xml:space="preserve"> exam</w:t>
      </w:r>
      <w:r>
        <w:t>. Students are required to participate in all inside and outside classroom activities as well as submit all the homework. Students are also required to take all the on-going tests and presentation.</w:t>
      </w:r>
    </w:p>
    <w:p w:rsidR="00A4191F" w:rsidRDefault="00A4191F" w:rsidP="00A4191F">
      <w:pPr>
        <w:spacing w:before="120"/>
        <w:jc w:val="both"/>
        <w:rPr>
          <w:b/>
          <w:i/>
        </w:rPr>
      </w:pPr>
      <w:r w:rsidRPr="002E339C">
        <w:rPr>
          <w:b/>
          <w:i/>
        </w:rPr>
        <w:t xml:space="preserve">2. Assessment </w:t>
      </w:r>
      <w:r>
        <w:rPr>
          <w:b/>
          <w:i/>
        </w:rPr>
        <w:t>details</w:t>
      </w:r>
    </w:p>
    <w:tbl>
      <w:tblPr>
        <w:tblStyle w:val="TableGrid"/>
        <w:tblW w:w="9684" w:type="dxa"/>
        <w:tblInd w:w="-113" w:type="dxa"/>
        <w:tblLook w:val="04A0" w:firstRow="1" w:lastRow="0" w:firstColumn="1" w:lastColumn="0" w:noHBand="0" w:noVBand="1"/>
      </w:tblPr>
      <w:tblGrid>
        <w:gridCol w:w="1390"/>
        <w:gridCol w:w="1695"/>
        <w:gridCol w:w="1568"/>
        <w:gridCol w:w="1283"/>
        <w:gridCol w:w="3748"/>
      </w:tblGrid>
      <w:tr w:rsidR="00A4191F" w:rsidRPr="00C4429A" w:rsidTr="00083DC9">
        <w:trPr>
          <w:trHeight w:val="403"/>
        </w:trPr>
        <w:tc>
          <w:tcPr>
            <w:tcW w:w="1390" w:type="dxa"/>
            <w:vAlign w:val="center"/>
          </w:tcPr>
          <w:p w:rsidR="00A4191F" w:rsidRPr="00F5787B" w:rsidRDefault="00A4191F" w:rsidP="00083DC9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>Assessment Task</w:t>
            </w:r>
          </w:p>
        </w:tc>
        <w:tc>
          <w:tcPr>
            <w:tcW w:w="1695" w:type="dxa"/>
            <w:vAlign w:val="center"/>
          </w:tcPr>
          <w:p w:rsidR="00A4191F" w:rsidRPr="00F5787B" w:rsidRDefault="00A4191F" w:rsidP="00083DC9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 xml:space="preserve">Assessment </w:t>
            </w:r>
            <w:r>
              <w:rPr>
                <w:b/>
                <w:bCs/>
              </w:rPr>
              <w:t>Form</w:t>
            </w:r>
          </w:p>
        </w:tc>
        <w:tc>
          <w:tcPr>
            <w:tcW w:w="1568" w:type="dxa"/>
            <w:vAlign w:val="center"/>
          </w:tcPr>
          <w:p w:rsidR="00A4191F" w:rsidRPr="00F5787B" w:rsidRDefault="00A4191F" w:rsidP="00083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283" w:type="dxa"/>
            <w:vAlign w:val="center"/>
          </w:tcPr>
          <w:p w:rsidR="00A4191F" w:rsidRPr="00F5787B" w:rsidRDefault="00A4191F" w:rsidP="00083DC9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>Weighting</w:t>
            </w:r>
          </w:p>
        </w:tc>
        <w:tc>
          <w:tcPr>
            <w:tcW w:w="3748" w:type="dxa"/>
            <w:vAlign w:val="center"/>
          </w:tcPr>
          <w:p w:rsidR="00A4191F" w:rsidRPr="00F5787B" w:rsidRDefault="00A4191F" w:rsidP="00083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A4191F" w:rsidRPr="00C4429A" w:rsidTr="00083DC9">
        <w:trPr>
          <w:trHeight w:val="562"/>
        </w:trPr>
        <w:tc>
          <w:tcPr>
            <w:tcW w:w="1390" w:type="dxa"/>
            <w:vMerge w:val="restart"/>
            <w:vAlign w:val="center"/>
          </w:tcPr>
          <w:p w:rsidR="00A4191F" w:rsidRPr="000E74D4" w:rsidRDefault="00A4191F" w:rsidP="00083DC9">
            <w:pPr>
              <w:jc w:val="center"/>
              <w:rPr>
                <w:bCs/>
              </w:rPr>
            </w:pPr>
            <w:r w:rsidRPr="000E74D4">
              <w:rPr>
                <w:bCs/>
              </w:rPr>
              <w:t>On-going assessment</w:t>
            </w:r>
          </w:p>
        </w:tc>
        <w:tc>
          <w:tcPr>
            <w:tcW w:w="1695" w:type="dxa"/>
          </w:tcPr>
          <w:p w:rsidR="00A4191F" w:rsidRPr="00C4429A" w:rsidRDefault="00A4191F" w:rsidP="00083DC9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C4429A">
              <w:rPr>
                <w:bCs/>
              </w:rPr>
              <w:t>Attendance</w:t>
            </w:r>
            <w:r>
              <w:rPr>
                <w:bCs/>
              </w:rPr>
              <w:t>,</w:t>
            </w:r>
            <w:r w:rsidRPr="00C4429A">
              <w:rPr>
                <w:bCs/>
              </w:rPr>
              <w:t xml:space="preserve"> participation</w:t>
            </w:r>
            <w:r>
              <w:rPr>
                <w:bCs/>
              </w:rPr>
              <w:t xml:space="preserve"> </w:t>
            </w:r>
          </w:p>
        </w:tc>
        <w:tc>
          <w:tcPr>
            <w:tcW w:w="1568" w:type="dxa"/>
          </w:tcPr>
          <w:p w:rsidR="00A4191F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During </w:t>
            </w:r>
          </w:p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the course</w:t>
            </w:r>
          </w:p>
        </w:tc>
        <w:tc>
          <w:tcPr>
            <w:tcW w:w="1283" w:type="dxa"/>
            <w:vMerge w:val="restart"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4429A">
              <w:rPr>
                <w:bCs/>
              </w:rPr>
              <w:t>0%</w:t>
            </w:r>
          </w:p>
        </w:tc>
        <w:tc>
          <w:tcPr>
            <w:tcW w:w="3748" w:type="dxa"/>
          </w:tcPr>
          <w:p w:rsidR="00A4191F" w:rsidRPr="00C4429A" w:rsidRDefault="00A4191F" w:rsidP="00083DC9">
            <w:pPr>
              <w:rPr>
                <w:bCs/>
              </w:rPr>
            </w:pPr>
            <w:r>
              <w:rPr>
                <w:bCs/>
              </w:rPr>
              <w:t>Weekly a</w:t>
            </w:r>
            <w:r w:rsidRPr="00C4429A">
              <w:rPr>
                <w:bCs/>
              </w:rPr>
              <w:t>ttendance</w:t>
            </w:r>
            <w:r>
              <w:rPr>
                <w:bCs/>
              </w:rPr>
              <w:t>,</w:t>
            </w:r>
            <w:r w:rsidRPr="00C4429A">
              <w:rPr>
                <w:bCs/>
              </w:rPr>
              <w:t xml:space="preserve"> participation</w:t>
            </w:r>
          </w:p>
        </w:tc>
      </w:tr>
      <w:tr w:rsidR="00A4191F" w:rsidRPr="00C4429A" w:rsidTr="00083DC9">
        <w:trPr>
          <w:trHeight w:val="303"/>
        </w:trPr>
        <w:tc>
          <w:tcPr>
            <w:tcW w:w="1390" w:type="dxa"/>
            <w:vMerge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A4191F" w:rsidRPr="00C4429A" w:rsidRDefault="00A4191F" w:rsidP="00083DC9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4429A">
              <w:rPr>
                <w:bCs/>
              </w:rPr>
              <w:t>Mini-test 1</w:t>
            </w:r>
          </w:p>
        </w:tc>
        <w:tc>
          <w:tcPr>
            <w:tcW w:w="1568" w:type="dxa"/>
          </w:tcPr>
          <w:p w:rsidR="00A4191F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After </w:t>
            </w:r>
          </w:p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content 3</w:t>
            </w:r>
          </w:p>
        </w:tc>
        <w:tc>
          <w:tcPr>
            <w:tcW w:w="1283" w:type="dxa"/>
            <w:vMerge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A4191F" w:rsidRPr="00C4429A" w:rsidRDefault="00A4191F" w:rsidP="00083DC9">
            <w:pPr>
              <w:rPr>
                <w:bCs/>
              </w:rPr>
            </w:pPr>
            <w:r>
              <w:rPr>
                <w:bCs/>
              </w:rPr>
              <w:t>Video recording</w:t>
            </w:r>
          </w:p>
        </w:tc>
      </w:tr>
      <w:tr w:rsidR="00A4191F" w:rsidRPr="00C4429A" w:rsidTr="00083DC9">
        <w:trPr>
          <w:trHeight w:val="403"/>
        </w:trPr>
        <w:tc>
          <w:tcPr>
            <w:tcW w:w="1390" w:type="dxa"/>
            <w:vMerge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A4191F" w:rsidRPr="00C4429A" w:rsidRDefault="00A4191F" w:rsidP="00083DC9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C4429A">
              <w:rPr>
                <w:bCs/>
              </w:rPr>
              <w:t>Mini-test 2</w:t>
            </w:r>
          </w:p>
        </w:tc>
        <w:tc>
          <w:tcPr>
            <w:tcW w:w="1568" w:type="dxa"/>
          </w:tcPr>
          <w:p w:rsidR="00A4191F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After </w:t>
            </w:r>
          </w:p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content 9</w:t>
            </w:r>
          </w:p>
        </w:tc>
        <w:tc>
          <w:tcPr>
            <w:tcW w:w="1283" w:type="dxa"/>
            <w:vMerge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A4191F" w:rsidRPr="00C4429A" w:rsidRDefault="00A4191F" w:rsidP="00083DC9">
            <w:pPr>
              <w:rPr>
                <w:bCs/>
              </w:rPr>
            </w:pPr>
            <w:r>
              <w:rPr>
                <w:bCs/>
              </w:rPr>
              <w:t>Video recording</w:t>
            </w:r>
          </w:p>
        </w:tc>
      </w:tr>
      <w:tr w:rsidR="00A4191F" w:rsidRPr="00C4429A" w:rsidTr="00083DC9">
        <w:trPr>
          <w:trHeight w:val="403"/>
        </w:trPr>
        <w:tc>
          <w:tcPr>
            <w:tcW w:w="1390" w:type="dxa"/>
            <w:vMerge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A4191F" w:rsidRDefault="00A4191F" w:rsidP="00083DC9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B86E7C">
              <w:rPr>
                <w:bCs/>
              </w:rPr>
              <w:t>Presentation</w:t>
            </w:r>
          </w:p>
        </w:tc>
        <w:tc>
          <w:tcPr>
            <w:tcW w:w="1568" w:type="dxa"/>
          </w:tcPr>
          <w:p w:rsidR="00A4191F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During </w:t>
            </w:r>
          </w:p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the course</w:t>
            </w:r>
          </w:p>
        </w:tc>
        <w:tc>
          <w:tcPr>
            <w:tcW w:w="1283" w:type="dxa"/>
            <w:vMerge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A4191F" w:rsidRPr="00C4429A" w:rsidRDefault="00A4191F" w:rsidP="00083DC9">
            <w:pPr>
              <w:rPr>
                <w:bCs/>
              </w:rPr>
            </w:pPr>
            <w:r w:rsidRPr="000E74D4">
              <w:rPr>
                <w:bCs/>
              </w:rPr>
              <w:t>G</w:t>
            </w:r>
            <w:r>
              <w:rPr>
                <w:bCs/>
              </w:rPr>
              <w:t>roup work</w:t>
            </w:r>
          </w:p>
        </w:tc>
      </w:tr>
      <w:tr w:rsidR="00A4191F" w:rsidRPr="00C4429A" w:rsidTr="00083DC9">
        <w:trPr>
          <w:trHeight w:val="403"/>
        </w:trPr>
        <w:tc>
          <w:tcPr>
            <w:tcW w:w="1390" w:type="dxa"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Midcourse test</w:t>
            </w:r>
          </w:p>
        </w:tc>
        <w:tc>
          <w:tcPr>
            <w:tcW w:w="1695" w:type="dxa"/>
            <w:vAlign w:val="center"/>
          </w:tcPr>
          <w:p w:rsidR="00A4191F" w:rsidRDefault="00A4191F" w:rsidP="00083DC9">
            <w:pPr>
              <w:rPr>
                <w:bCs/>
              </w:rPr>
            </w:pPr>
            <w:r>
              <w:rPr>
                <w:bCs/>
              </w:rPr>
              <w:t>Oral test</w:t>
            </w:r>
          </w:p>
        </w:tc>
        <w:tc>
          <w:tcPr>
            <w:tcW w:w="1568" w:type="dxa"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After content 6</w:t>
            </w:r>
          </w:p>
        </w:tc>
        <w:tc>
          <w:tcPr>
            <w:tcW w:w="1283" w:type="dxa"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3748" w:type="dxa"/>
          </w:tcPr>
          <w:p w:rsidR="00A4191F" w:rsidRPr="003756AE" w:rsidRDefault="00A4191F" w:rsidP="00083DC9">
            <w:pPr>
              <w:widowControl w:val="0"/>
              <w:spacing w:line="264" w:lineRule="auto"/>
              <w:contextualSpacing/>
            </w:pPr>
          </w:p>
          <w:p w:rsidR="00A4191F" w:rsidRPr="00550717" w:rsidRDefault="00A4191F" w:rsidP="00083DC9">
            <w:pPr>
              <w:widowControl w:val="0"/>
              <w:spacing w:line="264" w:lineRule="auto"/>
              <w:contextualSpacing/>
            </w:pPr>
            <w:r>
              <w:t>1.T</w:t>
            </w:r>
            <w:r>
              <w:rPr>
                <w:bCs/>
              </w:rPr>
              <w:t>h</w:t>
            </w:r>
            <w:r>
              <w:t>eory</w:t>
            </w:r>
            <w:r w:rsidRPr="00227D06">
              <w:rPr>
                <w:sz w:val="26"/>
                <w:szCs w:val="26"/>
              </w:rPr>
              <w:t>.</w:t>
            </w:r>
          </w:p>
          <w:p w:rsidR="00A4191F" w:rsidRPr="00227D06" w:rsidRDefault="00A4191F" w:rsidP="00083DC9">
            <w:pPr>
              <w:rPr>
                <w:sz w:val="26"/>
                <w:szCs w:val="26"/>
              </w:rPr>
            </w:pPr>
            <w:r>
              <w:rPr>
                <w:bCs/>
              </w:rPr>
              <w:t xml:space="preserve">2. </w:t>
            </w:r>
            <w:r w:rsidRPr="00227D06">
              <w:rPr>
                <w:sz w:val="26"/>
                <w:szCs w:val="26"/>
              </w:rPr>
              <w:t>Read the following words based on their transcription.</w:t>
            </w:r>
          </w:p>
          <w:p w:rsidR="00A4191F" w:rsidRPr="00C4429A" w:rsidRDefault="00A4191F" w:rsidP="00083DC9">
            <w:pPr>
              <w:widowControl w:val="0"/>
              <w:spacing w:line="264" w:lineRule="auto"/>
              <w:contextualSpacing/>
              <w:rPr>
                <w:bCs/>
              </w:rPr>
            </w:pPr>
            <w:r>
              <w:rPr>
                <w:bCs/>
              </w:rPr>
              <w:t>3.</w:t>
            </w:r>
            <w:r w:rsidRPr="00227D06">
              <w:rPr>
                <w:sz w:val="26"/>
                <w:szCs w:val="26"/>
              </w:rPr>
              <w:t xml:space="preserve"> Read aloud the text.</w:t>
            </w:r>
          </w:p>
          <w:p w:rsidR="00A4191F" w:rsidRPr="00C4429A" w:rsidRDefault="00A4191F" w:rsidP="00083DC9">
            <w:pPr>
              <w:rPr>
                <w:bCs/>
              </w:rPr>
            </w:pPr>
          </w:p>
        </w:tc>
      </w:tr>
      <w:tr w:rsidR="00A4191F" w:rsidRPr="00C4429A" w:rsidTr="00083DC9">
        <w:trPr>
          <w:trHeight w:val="403"/>
        </w:trPr>
        <w:tc>
          <w:tcPr>
            <w:tcW w:w="1390" w:type="dxa"/>
            <w:vAlign w:val="center"/>
          </w:tcPr>
          <w:p w:rsidR="00A4191F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Final test</w:t>
            </w:r>
          </w:p>
        </w:tc>
        <w:tc>
          <w:tcPr>
            <w:tcW w:w="1695" w:type="dxa"/>
            <w:vAlign w:val="center"/>
          </w:tcPr>
          <w:p w:rsidR="00A4191F" w:rsidRDefault="00A4191F" w:rsidP="00083DC9">
            <w:pPr>
              <w:rPr>
                <w:bCs/>
              </w:rPr>
            </w:pPr>
            <w:r>
              <w:rPr>
                <w:bCs/>
              </w:rPr>
              <w:t>Oral test</w:t>
            </w:r>
          </w:p>
        </w:tc>
        <w:tc>
          <w:tcPr>
            <w:tcW w:w="1568" w:type="dxa"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After the course</w:t>
            </w:r>
          </w:p>
        </w:tc>
        <w:tc>
          <w:tcPr>
            <w:tcW w:w="1283" w:type="dxa"/>
            <w:vAlign w:val="center"/>
          </w:tcPr>
          <w:p w:rsidR="00A4191F" w:rsidRPr="00C4429A" w:rsidRDefault="00A4191F" w:rsidP="00083DC9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3748" w:type="dxa"/>
          </w:tcPr>
          <w:p w:rsidR="00A4191F" w:rsidRDefault="00A4191F" w:rsidP="00083DC9">
            <w:pPr>
              <w:widowControl w:val="0"/>
              <w:spacing w:line="264" w:lineRule="auto"/>
              <w:contextualSpacing/>
            </w:pPr>
            <w:r>
              <w:t>1.T</w:t>
            </w:r>
            <w:r>
              <w:rPr>
                <w:bCs/>
              </w:rPr>
              <w:t>h</w:t>
            </w:r>
            <w:r>
              <w:t>eory</w:t>
            </w:r>
          </w:p>
          <w:p w:rsidR="00A4191F" w:rsidRPr="00227D06" w:rsidRDefault="00A4191F" w:rsidP="00083DC9">
            <w:pPr>
              <w:rPr>
                <w:sz w:val="26"/>
                <w:szCs w:val="26"/>
              </w:rPr>
            </w:pPr>
            <w:r>
              <w:t xml:space="preserve">2. </w:t>
            </w:r>
            <w:r w:rsidRPr="00227D06">
              <w:rPr>
                <w:sz w:val="26"/>
                <w:szCs w:val="26"/>
              </w:rPr>
              <w:t>Give the broad transciption including the stress of the following words.</w:t>
            </w:r>
          </w:p>
          <w:p w:rsidR="00A4191F" w:rsidRPr="00227D06" w:rsidRDefault="00A4191F" w:rsidP="00083DC9">
            <w:pPr>
              <w:rPr>
                <w:sz w:val="26"/>
                <w:szCs w:val="26"/>
              </w:rPr>
            </w:pPr>
            <w:r>
              <w:rPr>
                <w:bCs/>
              </w:rPr>
              <w:t xml:space="preserve">3. </w:t>
            </w:r>
            <w:r w:rsidRPr="00227D06">
              <w:rPr>
                <w:sz w:val="26"/>
                <w:szCs w:val="26"/>
              </w:rPr>
              <w:t>Read the following words based on their transcription.</w:t>
            </w:r>
          </w:p>
          <w:p w:rsidR="00A4191F" w:rsidRDefault="00A4191F" w:rsidP="00083DC9">
            <w:pPr>
              <w:widowControl w:val="0"/>
              <w:spacing w:line="264" w:lineRule="auto"/>
              <w:contextualSpacing/>
              <w:rPr>
                <w:sz w:val="26"/>
                <w:szCs w:val="26"/>
              </w:rPr>
            </w:pPr>
            <w:r>
              <w:rPr>
                <w:bCs/>
              </w:rPr>
              <w:t>4.</w:t>
            </w:r>
            <w:r w:rsidRPr="00227D06">
              <w:rPr>
                <w:sz w:val="26"/>
                <w:szCs w:val="26"/>
              </w:rPr>
              <w:t xml:space="preserve"> Read aloud the text.</w:t>
            </w:r>
          </w:p>
          <w:p w:rsidR="00A4191F" w:rsidRPr="00C4429A" w:rsidRDefault="00A4191F" w:rsidP="00083DC9">
            <w:pPr>
              <w:widowControl w:val="0"/>
              <w:spacing w:line="264" w:lineRule="auto"/>
              <w:contextualSpacing/>
              <w:rPr>
                <w:bCs/>
              </w:rPr>
            </w:pPr>
            <w:r>
              <w:rPr>
                <w:sz w:val="26"/>
                <w:szCs w:val="26"/>
              </w:rPr>
              <w:t>5.</w:t>
            </w:r>
            <w:r w:rsidRPr="00227D06">
              <w:rPr>
                <w:sz w:val="26"/>
                <w:szCs w:val="26"/>
              </w:rPr>
              <w:t xml:space="preserve"> Answer examiners’ questions.</w:t>
            </w:r>
          </w:p>
          <w:p w:rsidR="00A4191F" w:rsidRPr="00C4429A" w:rsidRDefault="00A4191F" w:rsidP="00083DC9">
            <w:pPr>
              <w:rPr>
                <w:bCs/>
              </w:rPr>
            </w:pPr>
          </w:p>
        </w:tc>
      </w:tr>
    </w:tbl>
    <w:p w:rsidR="00A4191F" w:rsidRPr="009560AE" w:rsidRDefault="00A4191F" w:rsidP="00A4191F">
      <w:pPr>
        <w:jc w:val="both"/>
        <w:rPr>
          <w:b/>
        </w:rPr>
      </w:pPr>
    </w:p>
    <w:p w:rsidR="00C70C8E" w:rsidRDefault="00C70C8E"/>
    <w:sectPr w:rsidR="00C70C8E" w:rsidSect="00B34E9D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51" w:rsidRDefault="005F0951">
      <w:r>
        <w:separator/>
      </w:r>
    </w:p>
  </w:endnote>
  <w:endnote w:type="continuationSeparator" w:id="0">
    <w:p w:rsidR="005F0951" w:rsidRDefault="005F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Default="00176ECA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931" w:rsidRDefault="005F0951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Pr="00CA6C0A" w:rsidRDefault="00176ECA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1A74AE">
      <w:rPr>
        <w:rStyle w:val="PageNumber"/>
        <w:noProof/>
      </w:rPr>
      <w:t>1</w:t>
    </w:r>
    <w:r w:rsidRPr="00CA6C0A">
      <w:rPr>
        <w:rStyle w:val="PageNumber"/>
      </w:rPr>
      <w:fldChar w:fldCharType="end"/>
    </w:r>
  </w:p>
  <w:p w:rsidR="005D6931" w:rsidRDefault="005F0951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51" w:rsidRDefault="005F0951">
      <w:r>
        <w:separator/>
      </w:r>
    </w:p>
  </w:footnote>
  <w:footnote w:type="continuationSeparator" w:id="0">
    <w:p w:rsidR="005F0951" w:rsidRDefault="005F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EC1"/>
    <w:multiLevelType w:val="hybridMultilevel"/>
    <w:tmpl w:val="C7300580"/>
    <w:lvl w:ilvl="0" w:tplc="9392C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05E3"/>
    <w:multiLevelType w:val="hybridMultilevel"/>
    <w:tmpl w:val="FDA431AC"/>
    <w:lvl w:ilvl="0" w:tplc="9392C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86B0B"/>
    <w:multiLevelType w:val="hybridMultilevel"/>
    <w:tmpl w:val="90D49A3C"/>
    <w:lvl w:ilvl="0" w:tplc="2A4E810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9392C094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8"/>
    <w:rsid w:val="000A7DF1"/>
    <w:rsid w:val="00176ECA"/>
    <w:rsid w:val="001A74AE"/>
    <w:rsid w:val="003C4823"/>
    <w:rsid w:val="00541EEE"/>
    <w:rsid w:val="005F0951"/>
    <w:rsid w:val="00605028"/>
    <w:rsid w:val="00751B5E"/>
    <w:rsid w:val="00A4191F"/>
    <w:rsid w:val="00C70C8E"/>
    <w:rsid w:val="00C750D5"/>
    <w:rsid w:val="00D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85EC"/>
  <w15:docId w15:val="{2F22D4C7-11D7-4334-BB66-72566702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41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9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191F"/>
  </w:style>
  <w:style w:type="character" w:customStyle="1" w:styleId="a1">
    <w:name w:val="a1"/>
    <w:rsid w:val="00A4191F"/>
    <w:rPr>
      <w:color w:val="008000"/>
    </w:rPr>
  </w:style>
  <w:style w:type="paragraph" w:styleId="ListParagraph">
    <w:name w:val="List Paragraph"/>
    <w:basedOn w:val="Normal"/>
    <w:uiPriority w:val="34"/>
    <w:qFormat/>
    <w:rsid w:val="00A4191F"/>
    <w:pPr>
      <w:ind w:left="720"/>
      <w:contextualSpacing/>
    </w:pPr>
  </w:style>
  <w:style w:type="character" w:customStyle="1" w:styleId="a-size-large">
    <w:name w:val="a-size-large"/>
    <w:basedOn w:val="DefaultParagraphFont"/>
    <w:uiPriority w:val="99"/>
    <w:rsid w:val="00751B5E"/>
    <w:rPr>
      <w:rFonts w:cs="Times New Roman"/>
    </w:rPr>
  </w:style>
  <w:style w:type="character" w:customStyle="1" w:styleId="a-declarative">
    <w:name w:val="a-declarative"/>
    <w:basedOn w:val="DefaultParagraphFont"/>
    <w:uiPriority w:val="99"/>
    <w:rsid w:val="00751B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tguides.mq.edu.au/unit_offerings/136927/unit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Ms. Hoang Minh</cp:lastModifiedBy>
  <cp:revision>2</cp:revision>
  <dcterms:created xsi:type="dcterms:W3CDTF">2021-11-15T22:51:00Z</dcterms:created>
  <dcterms:modified xsi:type="dcterms:W3CDTF">2021-11-15T22:51:00Z</dcterms:modified>
</cp:coreProperties>
</file>