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04" w:type="dxa"/>
        <w:jc w:val="center"/>
        <w:tblLook w:val="01E0" w:firstRow="1" w:lastRow="1" w:firstColumn="1" w:lastColumn="1" w:noHBand="0" w:noVBand="0"/>
      </w:tblPr>
      <w:tblGrid>
        <w:gridCol w:w="6135"/>
        <w:gridCol w:w="6269"/>
      </w:tblGrid>
      <w:tr w:rsidR="00A402A8" w:rsidRPr="00296115" w:rsidTr="001E1902">
        <w:trPr>
          <w:trHeight w:val="599"/>
          <w:jc w:val="center"/>
        </w:trPr>
        <w:tc>
          <w:tcPr>
            <w:tcW w:w="6135" w:type="dxa"/>
            <w:shd w:val="clear" w:color="auto" w:fill="auto"/>
          </w:tcPr>
          <w:p w:rsidR="00A402A8" w:rsidRPr="0084725A" w:rsidRDefault="00A402A8" w:rsidP="006B7FEF">
            <w:pPr>
              <w:ind w:left="1021"/>
              <w:jc w:val="center"/>
              <w:rPr>
                <w:lang w:val="pt-BR"/>
              </w:rPr>
            </w:pPr>
            <w:r>
              <w:rPr>
                <w:lang w:val="pt-BR"/>
              </w:rPr>
              <w:t>HỒNG ĐỨC UNIVERSITY</w:t>
            </w:r>
          </w:p>
          <w:p w:rsidR="00A402A8" w:rsidRPr="003049E5" w:rsidRDefault="00A402A8" w:rsidP="006B7FEF">
            <w:pPr>
              <w:ind w:left="1021"/>
              <w:jc w:val="center"/>
              <w:rPr>
                <w:b/>
              </w:rPr>
            </w:pPr>
            <w:r>
              <w:rPr>
                <w:b/>
              </w:rPr>
              <w:t>Faculty of Foreign Languages</w:t>
            </w:r>
          </w:p>
          <w:p w:rsidR="001E1902" w:rsidRDefault="001E1902" w:rsidP="001E1902">
            <w:pPr>
              <w:ind w:left="1021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 xml:space="preserve">Division of Linguistics - Culture and </w:t>
            </w:r>
          </w:p>
          <w:p w:rsidR="00A402A8" w:rsidRPr="003049E5" w:rsidRDefault="001E1902" w:rsidP="001E1902">
            <w:pPr>
              <w:ind w:left="1021"/>
              <w:jc w:val="center"/>
              <w:rPr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6269" w:type="dxa"/>
            <w:shd w:val="clear" w:color="auto" w:fill="auto"/>
          </w:tcPr>
          <w:p w:rsidR="00A402A8" w:rsidRPr="007F56D6" w:rsidRDefault="00A402A8" w:rsidP="006B7FEF">
            <w:pPr>
              <w:jc w:val="center"/>
              <w:rPr>
                <w:rFonts w:ascii="Rockwell Extra Bold" w:hAnsi="Rockwell Extra Bold"/>
                <w:b/>
              </w:rPr>
            </w:pPr>
            <w:r w:rsidRPr="007F56D6">
              <w:rPr>
                <w:rFonts w:ascii="Rockwell Extra Bold" w:hAnsi="Rockwell Extra Bold"/>
                <w:b/>
              </w:rPr>
              <w:t>SYLLABUS</w:t>
            </w:r>
          </w:p>
          <w:p w:rsidR="00A402A8" w:rsidRPr="007F56D6" w:rsidRDefault="005531E1" w:rsidP="006B7FEF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 </w:t>
            </w:r>
            <w:bookmarkStart w:id="0" w:name="_GoBack"/>
            <w:r>
              <w:rPr>
                <w:rFonts w:ascii="Berlin Sans FB Demi" w:hAnsi="Berlin Sans FB Demi"/>
                <w:b/>
              </w:rPr>
              <w:t>P</w:t>
            </w:r>
            <w:r w:rsidRPr="005531E1">
              <w:rPr>
                <w:rFonts w:ascii="Berlin Sans FB Demi" w:hAnsi="Berlin Sans FB Demi"/>
                <w:b/>
              </w:rPr>
              <w:t>h</w:t>
            </w:r>
            <w:r>
              <w:rPr>
                <w:rFonts w:ascii="Berlin Sans FB Demi" w:hAnsi="Berlin Sans FB Demi"/>
                <w:b/>
              </w:rPr>
              <w:t>onetics and P</w:t>
            </w:r>
            <w:r w:rsidRPr="005531E1">
              <w:rPr>
                <w:rFonts w:ascii="Berlin Sans FB Demi" w:hAnsi="Berlin Sans FB Demi"/>
                <w:b/>
              </w:rPr>
              <w:t>h</w:t>
            </w:r>
            <w:r>
              <w:rPr>
                <w:rFonts w:ascii="Berlin Sans FB Demi" w:hAnsi="Berlin Sans FB Demi"/>
                <w:b/>
              </w:rPr>
              <w:t>onolo</w:t>
            </w:r>
            <w:r w:rsidRPr="005531E1">
              <w:rPr>
                <w:rFonts w:ascii="Berlin Sans FB Demi" w:hAnsi="Berlin Sans FB Demi"/>
                <w:b/>
              </w:rPr>
              <w:t>g</w:t>
            </w:r>
            <w:r>
              <w:rPr>
                <w:rFonts w:ascii="Berlin Sans FB Demi" w:hAnsi="Berlin Sans FB Demi"/>
                <w:b/>
              </w:rPr>
              <w:t>y</w:t>
            </w:r>
            <w:bookmarkEnd w:id="0"/>
          </w:p>
          <w:p w:rsidR="00A402A8" w:rsidRPr="003049E5" w:rsidRDefault="00A402A8" w:rsidP="006B7FEF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  <w:r w:rsidRPr="003049E5">
              <w:rPr>
                <w:b/>
              </w:rPr>
              <w:t>: 1</w:t>
            </w:r>
            <w:r w:rsidR="005531E1">
              <w:rPr>
                <w:b/>
              </w:rPr>
              <w:t>23100</w:t>
            </w:r>
          </w:p>
        </w:tc>
      </w:tr>
    </w:tbl>
    <w:p w:rsidR="00A402A8" w:rsidRPr="00296115" w:rsidRDefault="00A402A8" w:rsidP="00A402A8"/>
    <w:p w:rsidR="00A402A8" w:rsidRDefault="00A402A8" w:rsidP="00A402A8"/>
    <w:p w:rsidR="00A402A8" w:rsidRPr="00117C3A" w:rsidRDefault="00A402A8" w:rsidP="00A402A8">
      <w:pPr>
        <w:rPr>
          <w:b/>
          <w:color w:val="000000"/>
          <w:shd w:val="clear" w:color="auto" w:fill="FFFFFF"/>
        </w:rPr>
      </w:pPr>
      <w:r>
        <w:rPr>
          <w:b/>
        </w:rPr>
        <w:t>I.</w:t>
      </w:r>
      <w:r w:rsidRPr="00117C3A">
        <w:rPr>
          <w:b/>
        </w:rPr>
        <w:t xml:space="preserve"> </w:t>
      </w:r>
      <w:hyperlink r:id="rId7" w:anchor="general-information-section" w:history="1">
        <w:r>
          <w:rPr>
            <w:b/>
            <w:color w:val="000000"/>
            <w:shd w:val="clear" w:color="auto" w:fill="FFFFFF"/>
          </w:rPr>
          <w:t>General i</w:t>
        </w:r>
        <w:r w:rsidRPr="00117C3A">
          <w:rPr>
            <w:b/>
            <w:color w:val="000000"/>
            <w:shd w:val="clear" w:color="auto" w:fill="FFFFFF"/>
          </w:rPr>
          <w:t>nformation</w:t>
        </w:r>
      </w:hyperlink>
    </w:p>
    <w:p w:rsidR="00A402A8" w:rsidRPr="00D5590B" w:rsidRDefault="00A402A8" w:rsidP="00A402A8">
      <w:r w:rsidRPr="00D5590B">
        <w:t>- Credit points:</w:t>
      </w:r>
      <w:r w:rsidR="00674093">
        <w:t xml:space="preserve"> 2</w:t>
      </w:r>
      <w:r>
        <w:t xml:space="preserve"> </w:t>
      </w:r>
      <w:r w:rsidR="00674093">
        <w:t>(18</w:t>
      </w:r>
      <w:r w:rsidR="005531E1">
        <w:t>, 1</w:t>
      </w:r>
      <w:r w:rsidR="00674093">
        <w:t>2</w:t>
      </w:r>
      <w:r w:rsidR="005531E1">
        <w:t xml:space="preserve">, </w:t>
      </w:r>
      <w:r w:rsidR="00674093">
        <w:t>12</w:t>
      </w:r>
      <w:r w:rsidRPr="00B05F93">
        <w:t>)</w:t>
      </w:r>
    </w:p>
    <w:p w:rsidR="00A402A8" w:rsidRDefault="00A402A8" w:rsidP="00A402A8">
      <w:r w:rsidRPr="00D5590B">
        <w:t>- Prerequisites:</w:t>
      </w:r>
      <w:r w:rsidR="00674093">
        <w:t xml:space="preserve"> No</w:t>
      </w:r>
    </w:p>
    <w:p w:rsidR="00A402A8" w:rsidRDefault="00A402A8" w:rsidP="00A402A8">
      <w:r>
        <w:t xml:space="preserve">- </w:t>
      </w:r>
      <w:r w:rsidRPr="00CF1F4A">
        <w:t xml:space="preserve">Semester: </w:t>
      </w:r>
      <w:r w:rsidR="00674093">
        <w:t>2</w:t>
      </w:r>
    </w:p>
    <w:p w:rsidR="00A402A8" w:rsidRDefault="00A402A8" w:rsidP="00A402A8">
      <w:pPr>
        <w:spacing w:before="120"/>
        <w:rPr>
          <w:b/>
        </w:rPr>
      </w:pPr>
      <w:r>
        <w:rPr>
          <w:b/>
        </w:rPr>
        <w:t xml:space="preserve">II. Course description </w:t>
      </w:r>
    </w:p>
    <w:p w:rsidR="00A402A8" w:rsidRPr="00930850" w:rsidRDefault="00A402A8" w:rsidP="00A402A8">
      <w:pPr>
        <w:jc w:val="both"/>
      </w:pPr>
      <w:r w:rsidRPr="00901615">
        <w:rPr>
          <w:b/>
          <w:i/>
        </w:rPr>
        <w:t>Content</w:t>
      </w:r>
      <w:r>
        <w:t xml:space="preserve">: </w:t>
      </w:r>
      <w:r w:rsidRPr="00930850">
        <w:t xml:space="preserve">The course </w:t>
      </w:r>
      <w:r>
        <w:t xml:space="preserve">deals </w:t>
      </w:r>
      <w:r w:rsidR="00674093">
        <w:t>wit</w:t>
      </w:r>
      <w:r w:rsidR="00674093" w:rsidRPr="00930850">
        <w:t>h</w:t>
      </w:r>
      <w:r w:rsidR="00674093" w:rsidRPr="00674093">
        <w:t xml:space="preserve"> basic knowledge of English phonetics such as the international phonetic notation system, stress, intonation, pitch, duration, phonemes and phoneme variations, composition and position of syllables in words; the basic characteristics of consonants and vowels, the content of the elements of metasegmentation .vv</w:t>
      </w:r>
    </w:p>
    <w:p w:rsidR="00674093" w:rsidRDefault="00A402A8" w:rsidP="00674093">
      <w:pPr>
        <w:jc w:val="both"/>
      </w:pPr>
      <w:r w:rsidRPr="00901615">
        <w:rPr>
          <w:b/>
          <w:i/>
        </w:rPr>
        <w:t>Acquired competence</w:t>
      </w:r>
      <w:r w:rsidRPr="00930850">
        <w:t xml:space="preserve">: Learners </w:t>
      </w:r>
      <w:r>
        <w:t>ar</w:t>
      </w:r>
      <w:r w:rsidR="00674093">
        <w:t xml:space="preserve">e able to </w:t>
      </w:r>
      <w:r w:rsidR="00674093" w:rsidRPr="00674093">
        <w:t>distinguish between phonemes and phonemic variations in English, elements in English pronunciation such as pitch, duration, intonation, stress; apply basic understandings of meta-segmentation elements, improve their own pronunciation, develop their ability to communicate in English, and create a premise for the study of a number of specific iss</w:t>
      </w:r>
      <w:r w:rsidR="00674093">
        <w:t>ues about Phonetics – Phonology</w:t>
      </w:r>
    </w:p>
    <w:p w:rsidR="00A402A8" w:rsidRDefault="00A402A8" w:rsidP="00674093">
      <w:pPr>
        <w:jc w:val="both"/>
        <w:rPr>
          <w:b/>
        </w:rPr>
      </w:pPr>
      <w:r>
        <w:rPr>
          <w:b/>
        </w:rPr>
        <w:t xml:space="preserve">III. </w:t>
      </w:r>
      <w:r w:rsidRPr="000F1DB3">
        <w:rPr>
          <w:b/>
        </w:rPr>
        <w:t>Learning Outcomes</w:t>
      </w:r>
    </w:p>
    <w:p w:rsidR="00A402A8" w:rsidRDefault="00A402A8" w:rsidP="00A402A8">
      <w:pPr>
        <w:jc w:val="both"/>
        <w:rPr>
          <w:bCs/>
          <w:szCs w:val="26"/>
          <w:lang w:val="nl-NL" w:bidi="en-US"/>
        </w:rPr>
      </w:pPr>
      <w:r w:rsidRPr="00D37DAD">
        <w:rPr>
          <w:b/>
          <w:bCs/>
          <w:i/>
          <w:szCs w:val="26"/>
          <w:lang w:val="nl-NL" w:bidi="en-US"/>
        </w:rPr>
        <w:t>Knowledge</w:t>
      </w:r>
      <w:r w:rsidR="00674093">
        <w:rPr>
          <w:bCs/>
          <w:szCs w:val="26"/>
          <w:lang w:val="nl-NL" w:bidi="en-US"/>
        </w:rPr>
        <w:t xml:space="preserve">: </w:t>
      </w:r>
      <w:r w:rsidR="00674093" w:rsidRPr="00674093">
        <w:rPr>
          <w:bCs/>
          <w:szCs w:val="26"/>
          <w:lang w:val="nl-NL" w:bidi="en-US"/>
        </w:rPr>
        <w:t>Learners have knowledge about problems related to phonetics and phonemes</w:t>
      </w:r>
      <w:r w:rsidR="00674093">
        <w:rPr>
          <w:bCs/>
          <w:szCs w:val="26"/>
          <w:lang w:val="nl-NL" w:bidi="en-US"/>
        </w:rPr>
        <w:t xml:space="preserve">. </w:t>
      </w:r>
      <w:r w:rsidR="00674093" w:rsidRPr="00674093">
        <w:rPr>
          <w:bCs/>
          <w:szCs w:val="26"/>
          <w:lang w:val="nl-NL" w:bidi="en-US"/>
        </w:rPr>
        <w:t>Learners understand how to pronounce English sounds in theory and practice</w:t>
      </w:r>
      <w:r w:rsidR="00674093">
        <w:rPr>
          <w:bCs/>
          <w:szCs w:val="26"/>
          <w:lang w:val="nl-NL" w:bidi="en-US"/>
        </w:rPr>
        <w:t xml:space="preserve">. </w:t>
      </w:r>
      <w:r w:rsidR="00674093" w:rsidRPr="00674093">
        <w:rPr>
          <w:bCs/>
          <w:szCs w:val="26"/>
          <w:lang w:val="nl-NL" w:bidi="en-US"/>
        </w:rPr>
        <w:t>Learners know a number of issues related to phonetics and phonology such as phonetic parts: vocal cords, palate....</w:t>
      </w:r>
    </w:p>
    <w:p w:rsidR="00674093" w:rsidRDefault="00A402A8" w:rsidP="00A402A8">
      <w:pPr>
        <w:jc w:val="both"/>
        <w:rPr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Skills: </w:t>
      </w:r>
      <w:r w:rsidR="00674093">
        <w:rPr>
          <w:bCs/>
          <w:szCs w:val="26"/>
          <w:lang w:val="nl-NL" w:bidi="en-US"/>
        </w:rPr>
        <w:t>Le</w:t>
      </w:r>
      <w:r w:rsidRPr="00311283">
        <w:rPr>
          <w:bCs/>
          <w:szCs w:val="26"/>
          <w:lang w:val="nl-NL" w:bidi="en-US"/>
        </w:rPr>
        <w:t xml:space="preserve">arners are able to </w:t>
      </w:r>
      <w:r w:rsidR="00674093" w:rsidRPr="00674093">
        <w:rPr>
          <w:bCs/>
          <w:szCs w:val="26"/>
          <w:lang w:val="nl-NL" w:bidi="en-US"/>
        </w:rPr>
        <w:t>pronounce distinct sounds correctly</w:t>
      </w:r>
      <w:r w:rsidR="00674093">
        <w:rPr>
          <w:bCs/>
          <w:szCs w:val="26"/>
          <w:lang w:val="nl-NL" w:bidi="en-US"/>
        </w:rPr>
        <w:t xml:space="preserve">. </w:t>
      </w:r>
      <w:r w:rsidR="00674093" w:rsidRPr="00674093">
        <w:rPr>
          <w:bCs/>
          <w:szCs w:val="26"/>
          <w:lang w:val="nl-NL" w:bidi="en-US"/>
        </w:rPr>
        <w:t>Learners can pronounce correctly word stress, sentence stress and intonation in the dialogue.</w:t>
      </w:r>
    </w:p>
    <w:p w:rsidR="00A402A8" w:rsidRPr="008C383A" w:rsidRDefault="00A402A8" w:rsidP="00A402A8">
      <w:pPr>
        <w:jc w:val="both"/>
        <w:rPr>
          <w:b/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Attitude: </w:t>
      </w:r>
      <w:r w:rsidRPr="008C383A">
        <w:rPr>
          <w:bCs/>
          <w:szCs w:val="26"/>
          <w:lang w:val="nl-NL" w:bidi="en-US"/>
        </w:rPr>
        <w:t>Learners have a serious, self-conscious,</w:t>
      </w:r>
      <w:r>
        <w:rPr>
          <w:bCs/>
          <w:szCs w:val="26"/>
          <w:lang w:val="nl-NL" w:bidi="en-US"/>
        </w:rPr>
        <w:t xml:space="preserve"> and</w:t>
      </w:r>
      <w:r w:rsidRPr="008C383A">
        <w:rPr>
          <w:bCs/>
          <w:szCs w:val="26"/>
          <w:lang w:val="nl-NL" w:bidi="en-US"/>
        </w:rPr>
        <w:t xml:space="preserve"> r</w:t>
      </w:r>
      <w:r>
        <w:rPr>
          <w:bCs/>
          <w:szCs w:val="26"/>
          <w:lang w:val="nl-NL" w:bidi="en-US"/>
        </w:rPr>
        <w:t xml:space="preserve">esponsible attitude in learning. </w:t>
      </w:r>
      <w:r w:rsidRPr="008C383A">
        <w:rPr>
          <w:bCs/>
          <w:szCs w:val="26"/>
          <w:lang w:val="nl-NL" w:bidi="en-US"/>
        </w:rPr>
        <w:t>Learners have a spirit of self-improvement.</w:t>
      </w:r>
    </w:p>
    <w:p w:rsidR="00A402A8" w:rsidRDefault="00A402A8" w:rsidP="00A402A8">
      <w:pPr>
        <w:spacing w:before="120"/>
        <w:rPr>
          <w:b/>
        </w:rPr>
      </w:pPr>
      <w:r>
        <w:rPr>
          <w:b/>
        </w:rPr>
        <w:t xml:space="preserve">IV. </w:t>
      </w:r>
      <w:r w:rsidRPr="00F4103A">
        <w:rPr>
          <w:b/>
        </w:rPr>
        <w:t>Textbook</w:t>
      </w:r>
      <w:r>
        <w:rPr>
          <w:b/>
        </w:rPr>
        <w:t>s</w:t>
      </w:r>
      <w:r w:rsidRPr="00F4103A">
        <w:rPr>
          <w:b/>
        </w:rPr>
        <w:t xml:space="preserve"> &amp; Materials</w:t>
      </w:r>
    </w:p>
    <w:p w:rsidR="00A402A8" w:rsidRPr="00C37FDE" w:rsidRDefault="00A402A8" w:rsidP="00A402A8">
      <w:pPr>
        <w:rPr>
          <w:b/>
          <w:bCs/>
          <w:i/>
          <w:lang w:val="en-GB"/>
        </w:rPr>
      </w:pPr>
      <w:r w:rsidRPr="00C37FDE">
        <w:rPr>
          <w:b/>
          <w:bCs/>
          <w:i/>
          <w:lang w:val="en-GB"/>
        </w:rPr>
        <w:t xml:space="preserve">* </w:t>
      </w:r>
      <w:bookmarkStart w:id="1" w:name="_Hlk87649758"/>
      <w:r w:rsidRPr="00C37FDE">
        <w:rPr>
          <w:b/>
          <w:bCs/>
          <w:i/>
          <w:lang w:val="en-GB"/>
        </w:rPr>
        <w:t>Required texts:</w:t>
      </w:r>
    </w:p>
    <w:bookmarkEnd w:id="1"/>
    <w:p w:rsidR="00674093" w:rsidRPr="0036535E" w:rsidRDefault="00A402A8" w:rsidP="00674093">
      <w:pPr>
        <w:spacing w:line="312" w:lineRule="auto"/>
        <w:jc w:val="both"/>
        <w:rPr>
          <w:sz w:val="26"/>
          <w:szCs w:val="26"/>
          <w:lang w:val="vi-VN"/>
        </w:rPr>
      </w:pPr>
      <w:r w:rsidRPr="00A402A8">
        <w:rPr>
          <w:lang w:bidi="en-US"/>
        </w:rPr>
        <w:t>1.</w:t>
      </w:r>
      <w:r w:rsidR="00674093">
        <w:rPr>
          <w:sz w:val="26"/>
          <w:szCs w:val="26"/>
        </w:rPr>
        <w:t xml:space="preserve">       </w:t>
      </w:r>
      <w:r w:rsidR="00674093" w:rsidRPr="0036535E">
        <w:rPr>
          <w:sz w:val="26"/>
          <w:szCs w:val="26"/>
        </w:rPr>
        <w:t xml:space="preserve"> </w:t>
      </w:r>
      <w:r w:rsidR="00674093" w:rsidRPr="0036535E">
        <w:rPr>
          <w:sz w:val="26"/>
          <w:szCs w:val="26"/>
          <w:lang w:val="vi-VN"/>
        </w:rPr>
        <w:t xml:space="preserve">Peter Roach (2009) </w:t>
      </w:r>
      <w:r w:rsidR="00674093" w:rsidRPr="00604BBC">
        <w:rPr>
          <w:b/>
          <w:i/>
          <w:sz w:val="26"/>
          <w:szCs w:val="26"/>
          <w:lang w:val="vi-VN"/>
        </w:rPr>
        <w:t>English Phonetics and Phonology</w:t>
      </w:r>
      <w:r w:rsidR="00674093" w:rsidRPr="0036535E">
        <w:rPr>
          <w:sz w:val="26"/>
          <w:szCs w:val="26"/>
          <w:lang w:val="vi-VN"/>
        </w:rPr>
        <w:t>. Cambridge: CUP</w:t>
      </w:r>
    </w:p>
    <w:p w:rsidR="00A402A8" w:rsidRPr="00ED0B6B" w:rsidRDefault="00A402A8" w:rsidP="00674093">
      <w:pPr>
        <w:widowControl w:val="0"/>
        <w:tabs>
          <w:tab w:val="left" w:pos="851"/>
          <w:tab w:val="left" w:pos="993"/>
        </w:tabs>
        <w:ind w:left="283"/>
        <w:contextualSpacing/>
        <w:jc w:val="both"/>
        <w:rPr>
          <w:b/>
          <w:bCs/>
          <w:i/>
          <w:lang w:val="en-GB"/>
        </w:rPr>
      </w:pPr>
      <w:r w:rsidRPr="00ED0B6B">
        <w:rPr>
          <w:b/>
          <w:bCs/>
          <w:i/>
          <w:lang w:val="en-GB"/>
        </w:rPr>
        <w:t xml:space="preserve">* </w:t>
      </w:r>
      <w:bookmarkStart w:id="2" w:name="_Hlk87649767"/>
      <w:r w:rsidRPr="00ED0B6B">
        <w:rPr>
          <w:b/>
          <w:bCs/>
          <w:i/>
          <w:lang w:val="en-GB"/>
        </w:rPr>
        <w:t>Recommended readings:</w:t>
      </w:r>
      <w:bookmarkEnd w:id="2"/>
      <w:r w:rsidRPr="00A402A8">
        <w:rPr>
          <w:b/>
          <w:i/>
          <w:lang w:bidi="en-US"/>
        </w:rPr>
        <w:t xml:space="preserve">  </w:t>
      </w:r>
    </w:p>
    <w:p w:rsidR="00604BBC" w:rsidRPr="00604BBC" w:rsidRDefault="00604BBC" w:rsidP="00604BBC">
      <w:pPr>
        <w:spacing w:line="312" w:lineRule="auto"/>
        <w:jc w:val="both"/>
        <w:rPr>
          <w:sz w:val="26"/>
          <w:szCs w:val="26"/>
        </w:rPr>
      </w:pPr>
      <w:r>
        <w:rPr>
          <w:bCs/>
          <w:iCs/>
        </w:rPr>
        <w:t>1.</w:t>
      </w:r>
      <w:r w:rsidR="00A402A8" w:rsidRPr="00604BBC">
        <w:rPr>
          <w:bCs/>
          <w:iCs/>
        </w:rPr>
        <w:t xml:space="preserve"> </w:t>
      </w:r>
      <w:r w:rsidRPr="00604BBC">
        <w:rPr>
          <w:sz w:val="26"/>
          <w:szCs w:val="26"/>
        </w:rPr>
        <w:t>Jonathan Marks</w:t>
      </w:r>
      <w:r w:rsidRPr="00604BBC">
        <w:rPr>
          <w:sz w:val="26"/>
          <w:szCs w:val="26"/>
          <w:lang w:val="vi-VN"/>
        </w:rPr>
        <w:t xml:space="preserve"> (200</w:t>
      </w:r>
      <w:r w:rsidRPr="00604BBC">
        <w:rPr>
          <w:sz w:val="26"/>
          <w:szCs w:val="26"/>
        </w:rPr>
        <w:t>7</w:t>
      </w:r>
      <w:r w:rsidRPr="00604BBC">
        <w:rPr>
          <w:sz w:val="26"/>
          <w:szCs w:val="26"/>
          <w:lang w:val="vi-VN"/>
        </w:rPr>
        <w:t xml:space="preserve">), </w:t>
      </w:r>
      <w:r w:rsidRPr="00604BBC">
        <w:rPr>
          <w:b/>
          <w:i/>
          <w:sz w:val="26"/>
          <w:szCs w:val="26"/>
          <w:lang w:val="vi-VN"/>
        </w:rPr>
        <w:t>English Pronunciation in Use</w:t>
      </w:r>
      <w:r w:rsidRPr="00604BBC">
        <w:rPr>
          <w:sz w:val="26"/>
          <w:szCs w:val="26"/>
          <w:lang w:val="vi-VN"/>
        </w:rPr>
        <w:t xml:space="preserve">. Cambridge: CUP </w:t>
      </w:r>
    </w:p>
    <w:p w:rsidR="00604BBC" w:rsidRPr="00B14C2E" w:rsidRDefault="00604BBC" w:rsidP="00604BB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val="vi-VN"/>
        </w:rPr>
        <w:t xml:space="preserve">Jenkins, J (2000) </w:t>
      </w:r>
      <w:r w:rsidRPr="00604BBC">
        <w:rPr>
          <w:b/>
          <w:i/>
          <w:sz w:val="26"/>
          <w:szCs w:val="26"/>
          <w:lang w:val="vi-VN"/>
        </w:rPr>
        <w:t>Phonology of English as an Internationa</w:t>
      </w:r>
      <w:r w:rsidRPr="00604BBC">
        <w:rPr>
          <w:b/>
          <w:i/>
          <w:sz w:val="26"/>
          <w:szCs w:val="26"/>
        </w:rPr>
        <w:t>l</w:t>
      </w:r>
      <w:r w:rsidRPr="00604BBC">
        <w:rPr>
          <w:b/>
          <w:i/>
          <w:sz w:val="26"/>
          <w:szCs w:val="26"/>
          <w:lang w:val="vi-VN"/>
        </w:rPr>
        <w:t xml:space="preserve"> Language</w:t>
      </w:r>
      <w:r>
        <w:rPr>
          <w:sz w:val="26"/>
          <w:szCs w:val="26"/>
          <w:lang w:val="vi-VN"/>
        </w:rPr>
        <w:t>. Oxford: O</w:t>
      </w:r>
      <w:r>
        <w:rPr>
          <w:sz w:val="26"/>
          <w:szCs w:val="26"/>
        </w:rPr>
        <w:t xml:space="preserve">UP </w:t>
      </w:r>
    </w:p>
    <w:p w:rsidR="00604BBC" w:rsidRDefault="00604BBC" w:rsidP="00604BB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14C2E">
        <w:rPr>
          <w:sz w:val="26"/>
          <w:szCs w:val="26"/>
        </w:rPr>
        <w:t xml:space="preserve">. </w:t>
      </w:r>
      <w:r>
        <w:rPr>
          <w:sz w:val="26"/>
          <w:szCs w:val="26"/>
          <w:lang w:val="vi-VN"/>
        </w:rPr>
        <w:t xml:space="preserve">Anne Baker (2000) </w:t>
      </w:r>
      <w:r w:rsidRPr="00604BBC">
        <w:rPr>
          <w:b/>
          <w:i/>
          <w:sz w:val="26"/>
          <w:szCs w:val="26"/>
          <w:lang w:val="vi-VN"/>
        </w:rPr>
        <w:t>Sheep or Ship</w:t>
      </w:r>
      <w:r w:rsidRPr="00604BBC">
        <w:rPr>
          <w:b/>
          <w:sz w:val="26"/>
          <w:szCs w:val="26"/>
          <w:lang w:val="vi-VN"/>
        </w:rPr>
        <w:t>.</w:t>
      </w:r>
      <w:r w:rsidRPr="00CD0796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Cambridge: CUP</w:t>
      </w:r>
    </w:p>
    <w:p w:rsidR="00A402A8" w:rsidRDefault="00A402A8" w:rsidP="00604BBC">
      <w:pPr>
        <w:widowControl w:val="0"/>
        <w:ind w:left="283"/>
        <w:jc w:val="both"/>
        <w:rPr>
          <w:b/>
        </w:rPr>
      </w:pPr>
      <w:r>
        <w:rPr>
          <w:b/>
        </w:rPr>
        <w:t>V. Schedule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04"/>
      </w:tblGrid>
      <w:tr w:rsidR="00604BBC" w:rsidRPr="00DF21AD" w:rsidTr="00604BBC">
        <w:trPr>
          <w:trHeight w:val="2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BC" w:rsidRPr="008027B0" w:rsidRDefault="00604BBC" w:rsidP="006B7F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04BBC" w:rsidRPr="008027B0" w:rsidRDefault="00604BBC" w:rsidP="006B7FEF">
            <w:pPr>
              <w:jc w:val="center"/>
              <w:rPr>
                <w:b/>
                <w:lang w:val="en-GB"/>
              </w:rPr>
            </w:pPr>
            <w:r w:rsidRPr="008027B0">
              <w:rPr>
                <w:b/>
                <w:lang w:val="en-GB"/>
              </w:rPr>
              <w:t>Topics</w:t>
            </w:r>
          </w:p>
        </w:tc>
      </w:tr>
      <w:tr w:rsidR="00604BBC" w:rsidRPr="00DF21AD" w:rsidTr="00604BB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 w:rsidRPr="00DF21AD">
              <w:rPr>
                <w:lang w:val="en-GB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524DC" w:rsidRPr="00B14C2E" w:rsidRDefault="00E524DC" w:rsidP="00E524DC">
            <w:pPr>
              <w:spacing w:line="312" w:lineRule="auto"/>
              <w:ind w:firstLine="48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Introduction</w:t>
            </w:r>
          </w:p>
          <w:p w:rsidR="00E524DC" w:rsidRPr="00B14C2E" w:rsidRDefault="00E524DC" w:rsidP="00E524DC">
            <w:pPr>
              <w:spacing w:line="312" w:lineRule="auto"/>
              <w:ind w:firstLine="4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Definitions and background </w:t>
            </w:r>
          </w:p>
          <w:p w:rsidR="00E524DC" w:rsidRDefault="00E524DC" w:rsidP="00E524DC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 of phonetics and phonology </w:t>
            </w:r>
          </w:p>
          <w:p w:rsidR="00604BBC" w:rsidRPr="00E524DC" w:rsidRDefault="00E524DC" w:rsidP="00E524DC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Articulators </w:t>
            </w:r>
            <w:r>
              <w:rPr>
                <w:sz w:val="26"/>
                <w:szCs w:val="26"/>
                <w:lang w:val="vi-VN"/>
              </w:rPr>
              <w:t>above the larynx</w:t>
            </w: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ind w:firstLine="4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Vowels and Consonants </w:t>
            </w:r>
          </w:p>
          <w:p w:rsidR="00E524DC" w:rsidRPr="00F168DC" w:rsidRDefault="00E524DC" w:rsidP="00E524DC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Some terms</w:t>
            </w:r>
          </w:p>
          <w:p w:rsidR="00E524DC" w:rsidRPr="006B22EB" w:rsidRDefault="00E524DC" w:rsidP="00E524DC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Long vowels</w:t>
            </w:r>
            <w:r>
              <w:rPr>
                <w:sz w:val="26"/>
                <w:szCs w:val="26"/>
              </w:rPr>
              <w:t xml:space="preserve"> </w:t>
            </w:r>
          </w:p>
          <w:p w:rsidR="00E524DC" w:rsidRPr="006E2C0C" w:rsidRDefault="00E524DC" w:rsidP="00E524DC">
            <w:pPr>
              <w:spacing w:line="312" w:lineRule="auto"/>
              <w:ind w:firstLine="48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Short vowel </w:t>
            </w:r>
          </w:p>
          <w:p w:rsidR="00604BBC" w:rsidRPr="00DF21AD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E524DC" w:rsidRPr="000325B3" w:rsidRDefault="00E524DC" w:rsidP="00E524DC">
            <w:pPr>
              <w:spacing w:line="312" w:lineRule="auto"/>
              <w:ind w:firstLine="4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Distinguishing /æ/ and </w:t>
            </w:r>
            <w:r>
              <w:rPr>
                <w:b/>
                <w:sz w:val="26"/>
                <w:szCs w:val="26"/>
              </w:rPr>
              <w:t>pairs of monothongs</w:t>
            </w:r>
          </w:p>
          <w:p w:rsidR="00E524DC" w:rsidRDefault="00E524DC" w:rsidP="00E524DC">
            <w:pPr>
              <w:spacing w:line="31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Some terms</w:t>
            </w:r>
          </w:p>
          <w:p w:rsidR="00E524DC" w:rsidRPr="00FD7DBF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 w:rsidRPr="00FD7DBF">
              <w:rPr>
                <w:sz w:val="26"/>
                <w:szCs w:val="26"/>
                <w:lang w:val="vi-VN"/>
              </w:rPr>
              <w:t>/æ/ and /</w:t>
            </w:r>
            <w:r w:rsidRPr="00FD7DBF"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 w:rsidRPr="00FD7DBF">
              <w:rPr>
                <w:sz w:val="26"/>
                <w:szCs w:val="26"/>
                <w:lang w:val="vi-VN"/>
              </w:rPr>
              <w:t>/</w:t>
            </w:r>
          </w:p>
          <w:p w:rsidR="00E524DC" w:rsidRPr="00FD7DBF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 w:rsidRPr="00FD7DBF">
              <w:rPr>
                <w:sz w:val="26"/>
                <w:szCs w:val="26"/>
                <w:lang w:val="vi-VN"/>
              </w:rPr>
              <w:t>/æ/ and /e/</w:t>
            </w:r>
          </w:p>
          <w:p w:rsidR="00604BBC" w:rsidRP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 w:rsidRPr="00FD7DBF">
              <w:rPr>
                <w:sz w:val="26"/>
                <w:szCs w:val="26"/>
                <w:lang w:val="vi-VN"/>
              </w:rPr>
              <w:t>/æ/ and /a</w:t>
            </w:r>
            <w:r>
              <w:rPr>
                <w:sz w:val="26"/>
                <w:szCs w:val="26"/>
              </w:rPr>
              <w:t>/</w:t>
            </w:r>
          </w:p>
        </w:tc>
      </w:tr>
      <w:tr w:rsidR="00604BBC" w:rsidRPr="00DF21AD" w:rsidTr="00604BBC">
        <w:trPr>
          <w:trHeight w:val="298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524DC" w:rsidRPr="00FD7DBF" w:rsidRDefault="00E524DC" w:rsidP="00E524DC">
            <w:pPr>
              <w:spacing w:line="312" w:lineRule="auto"/>
              <w:ind w:firstLine="48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Pairs of </w:t>
            </w:r>
            <w:r>
              <w:rPr>
                <w:b/>
                <w:sz w:val="26"/>
                <w:szCs w:val="26"/>
              </w:rPr>
              <w:t>monothong</w:t>
            </w:r>
            <w:r>
              <w:rPr>
                <w:b/>
                <w:sz w:val="26"/>
                <w:szCs w:val="26"/>
                <w:lang w:val="vi-VN"/>
              </w:rPr>
              <w:t>s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/a:/ and /a/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/u:/ and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ʊ</w:t>
            </w:r>
            <w:r>
              <w:rPr>
                <w:sz w:val="26"/>
                <w:szCs w:val="26"/>
                <w:lang w:val="vi-VN"/>
              </w:rPr>
              <w:t>/ and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ʌ</w:t>
            </w:r>
            <w:r>
              <w:rPr>
                <w:sz w:val="26"/>
                <w:szCs w:val="26"/>
                <w:lang w:val="vi-VN"/>
              </w:rPr>
              <w:t>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Ɔ</w:t>
            </w:r>
            <w:r>
              <w:rPr>
                <w:sz w:val="26"/>
                <w:szCs w:val="26"/>
                <w:lang w:val="vi-VN"/>
              </w:rPr>
              <w:t>:/ and /o/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/i:/ and /I/</w:t>
            </w:r>
          </w:p>
          <w:p w:rsidR="00604BBC" w:rsidRPr="00E524DC" w:rsidRDefault="00E524DC" w:rsidP="00E524DC">
            <w:pPr>
              <w:pStyle w:val="ListParagraph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4DC">
              <w:rPr>
                <w:sz w:val="26"/>
                <w:szCs w:val="26"/>
                <w:lang w:val="vi-VN"/>
              </w:rPr>
              <w:t>/3:/ and /</w:t>
            </w:r>
            <w:r w:rsidRPr="00E524DC"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 w:rsidRPr="00E524DC">
              <w:rPr>
                <w:sz w:val="26"/>
                <w:szCs w:val="26"/>
                <w:lang w:val="vi-VN"/>
              </w:rPr>
              <w:t>/</w:t>
            </w: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524DC" w:rsidRPr="00FB046A" w:rsidRDefault="00E524DC" w:rsidP="00E524DC">
            <w:pPr>
              <w:spacing w:line="312" w:lineRule="auto"/>
              <w:ind w:firstLine="48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Dipthongs</w:t>
            </w:r>
          </w:p>
          <w:p w:rsidR="00E524DC" w:rsidRPr="00B14C2E" w:rsidRDefault="00E524DC" w:rsidP="00E524DC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 terms</w:t>
            </w:r>
          </w:p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Centring dipthongs: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/i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>
              <w:rPr>
                <w:sz w:val="26"/>
                <w:szCs w:val="26"/>
                <w:lang w:val="vi-VN"/>
              </w:rPr>
              <w:t>/, /e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>
              <w:rPr>
                <w:sz w:val="26"/>
                <w:szCs w:val="26"/>
                <w:lang w:val="vi-VN"/>
              </w:rPr>
              <w:t>/ and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ʊǝ</w:t>
            </w:r>
            <w:r>
              <w:rPr>
                <w:sz w:val="26"/>
                <w:szCs w:val="26"/>
                <w:lang w:val="vi-VN"/>
              </w:rPr>
              <w:t>/</w:t>
            </w:r>
          </w:p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Closing dipthongs: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Ending in /I/: /eI/, /oI/ and /aI/</w:t>
            </w:r>
          </w:p>
          <w:p w:rsidR="00604BBC" w:rsidRPr="00E524DC" w:rsidRDefault="00E524DC" w:rsidP="006B7FEF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Ending in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ʊ</w:t>
            </w:r>
            <w:r>
              <w:rPr>
                <w:sz w:val="26"/>
                <w:szCs w:val="26"/>
                <w:lang w:val="vi-VN"/>
              </w:rPr>
              <w:t>/: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ǝʊ</w:t>
            </w:r>
            <w:r>
              <w:rPr>
                <w:sz w:val="26"/>
                <w:szCs w:val="26"/>
                <w:lang w:val="vi-VN"/>
              </w:rPr>
              <w:t>/ and /a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ʊ</w:t>
            </w:r>
            <w:r>
              <w:rPr>
                <w:sz w:val="26"/>
                <w:szCs w:val="26"/>
                <w:lang w:val="vi-VN"/>
              </w:rPr>
              <w:t>/</w:t>
            </w: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524DC" w:rsidRPr="00FB046A" w:rsidRDefault="00E524DC" w:rsidP="00E524DC">
            <w:pPr>
              <w:spacing w:line="312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Tripthongs</w:t>
            </w:r>
          </w:p>
          <w:p w:rsidR="00E524DC" w:rsidRDefault="00E524DC" w:rsidP="00E524DC">
            <w:pPr>
              <w:spacing w:line="312" w:lineRule="auto"/>
              <w:ind w:firstLine="48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Some terms: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/e</w:t>
            </w:r>
            <w:r w:rsidRPr="00044411">
              <w:rPr>
                <w:sz w:val="16"/>
                <w:szCs w:val="16"/>
                <w:lang w:val="vi-VN"/>
              </w:rPr>
              <w:t>I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>
              <w:rPr>
                <w:sz w:val="26"/>
                <w:szCs w:val="26"/>
                <w:lang w:val="vi-VN"/>
              </w:rPr>
              <w:t>/: layer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/a</w:t>
            </w:r>
            <w:r w:rsidRPr="00044411">
              <w:rPr>
                <w:sz w:val="16"/>
                <w:szCs w:val="16"/>
                <w:lang w:val="vi-VN"/>
              </w:rPr>
              <w:t>I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>
              <w:rPr>
                <w:sz w:val="26"/>
                <w:szCs w:val="26"/>
                <w:lang w:val="vi-VN"/>
              </w:rPr>
              <w:t>/: fire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/o</w:t>
            </w:r>
            <w:r w:rsidRPr="00044411">
              <w:rPr>
                <w:sz w:val="20"/>
                <w:szCs w:val="20"/>
                <w:lang w:val="vi-VN"/>
              </w:rPr>
              <w:t>I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</w:t>
            </w:r>
            <w:r>
              <w:rPr>
                <w:sz w:val="26"/>
                <w:szCs w:val="26"/>
                <w:lang w:val="vi-VN"/>
              </w:rPr>
              <w:t>/: lawyer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ǝʊǝ</w:t>
            </w:r>
            <w:r>
              <w:rPr>
                <w:sz w:val="26"/>
                <w:szCs w:val="26"/>
                <w:lang w:val="vi-VN"/>
              </w:rPr>
              <w:t xml:space="preserve">/: mower 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/a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ʊǝ</w:t>
            </w:r>
            <w:r>
              <w:rPr>
                <w:sz w:val="26"/>
                <w:szCs w:val="26"/>
                <w:lang w:val="vi-VN"/>
              </w:rPr>
              <w:t>/: hour</w:t>
            </w:r>
          </w:p>
          <w:p w:rsidR="00604BBC" w:rsidRPr="00D7490C" w:rsidRDefault="00E524DC" w:rsidP="006B7F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Mid course test</w:t>
            </w: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 w:rsidRPr="00FA7E90">
              <w:rPr>
                <w:b/>
                <w:sz w:val="26"/>
                <w:szCs w:val="26"/>
                <w:lang w:val="vi-VN"/>
              </w:rPr>
              <w:t>Consonants</w:t>
            </w:r>
          </w:p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Some terms: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Fortis and lenis consonants 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Bilabial-plosive: /p/ and /b/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Labiodental-fricative: /f/ and /v/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Dental-fricative: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ɵ</w:t>
            </w:r>
            <w:r>
              <w:rPr>
                <w:sz w:val="26"/>
                <w:szCs w:val="26"/>
                <w:lang w:val="vi-VN"/>
              </w:rPr>
              <w:t>/ and /ð/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Alveolar-fricative: /t/ and /d/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Alveolar-fricative: /s/ and /z/</w:t>
            </w:r>
          </w:p>
          <w:p w:rsidR="00604BBC" w:rsidRPr="00E524DC" w:rsidRDefault="00604BBC" w:rsidP="006B7FEF">
            <w:pPr>
              <w:rPr>
                <w:lang w:val="vi-VN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 w:rsidRPr="00FA7E90">
              <w:rPr>
                <w:b/>
                <w:sz w:val="26"/>
                <w:szCs w:val="26"/>
                <w:lang w:val="vi-VN"/>
              </w:rPr>
              <w:t>Consonants</w:t>
            </w:r>
          </w:p>
          <w:p w:rsidR="00E524DC" w:rsidRDefault="00E524DC" w:rsidP="00E524DC">
            <w:p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Some terms: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Postalveolar-fricative: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ʃ</w:t>
            </w:r>
            <w:r>
              <w:rPr>
                <w:sz w:val="26"/>
                <w:szCs w:val="26"/>
                <w:lang w:val="vi-VN"/>
              </w:rPr>
              <w:t>/ and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ʒ</w:t>
            </w:r>
            <w:r>
              <w:rPr>
                <w:sz w:val="26"/>
                <w:szCs w:val="26"/>
                <w:lang w:val="vi-VN"/>
              </w:rPr>
              <w:t>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Velar-plosive: /k/ and /g/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Nasal: /m/, /n/ and /ŋ/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Africative: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ʧ</w:t>
            </w:r>
            <w:r>
              <w:rPr>
                <w:sz w:val="26"/>
                <w:szCs w:val="26"/>
                <w:lang w:val="vi-VN"/>
              </w:rPr>
              <w:t>/ and /</w:t>
            </w:r>
            <w:r>
              <w:rPr>
                <w:rFonts w:ascii="Cambria Math" w:hAnsi="Cambria Math" w:cs="Cambria Math"/>
                <w:sz w:val="26"/>
                <w:szCs w:val="26"/>
                <w:lang w:val="vi-VN"/>
              </w:rPr>
              <w:t>ʤ</w:t>
            </w:r>
            <w:r>
              <w:rPr>
                <w:sz w:val="26"/>
                <w:szCs w:val="26"/>
                <w:lang w:val="vi-VN"/>
              </w:rPr>
              <w:t>/</w:t>
            </w:r>
          </w:p>
          <w:p w:rsidR="00604BBC" w:rsidRPr="00DF21AD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auto"/>
          </w:tcPr>
          <w:p w:rsidR="00E524DC" w:rsidRPr="00044411" w:rsidRDefault="00E524DC" w:rsidP="00E524DC">
            <w:pPr>
              <w:spacing w:line="312" w:lineRule="auto"/>
              <w:ind w:firstLine="48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Word stress</w:t>
            </w:r>
          </w:p>
          <w:p w:rsidR="00E524DC" w:rsidRDefault="00E524DC" w:rsidP="00E524DC">
            <w:pPr>
              <w:spacing w:line="312" w:lineRule="auto"/>
              <w:ind w:firstLine="48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Some terms: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Syllables, words and sentences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ind w:right="-54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Simple word stress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ind w:right="-54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Complex word stress</w:t>
            </w:r>
          </w:p>
          <w:p w:rsidR="00E524DC" w:rsidRDefault="00E524DC" w:rsidP="00E524DC">
            <w:pPr>
              <w:numPr>
                <w:ilvl w:val="1"/>
                <w:numId w:val="4"/>
              </w:numPr>
              <w:spacing w:line="312" w:lineRule="auto"/>
              <w:ind w:right="-54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Compound word stress</w:t>
            </w:r>
          </w:p>
          <w:p w:rsidR="00604BBC" w:rsidRPr="00DF21AD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ind w:right="-1080" w:firstLine="48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Sentence stress</w:t>
            </w:r>
          </w:p>
          <w:p w:rsidR="00E524DC" w:rsidRPr="00FA7E90" w:rsidRDefault="00E524DC" w:rsidP="00E524DC">
            <w:pPr>
              <w:spacing w:line="312" w:lineRule="auto"/>
              <w:ind w:right="-1080" w:firstLine="4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Some terms: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Sentences with all the words stressed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 xml:space="preserve">Unstressed words 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Pronouncing and contrasctions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Pronouncing the verb “be”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Pronouncing the short words (a, of, or)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 xml:space="preserve">Joining words </w:t>
            </w:r>
          </w:p>
          <w:p w:rsidR="00604BBC" w:rsidRPr="00DF21AD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Pr="00DF21AD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ind w:right="-1080" w:firstLine="48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Conversation</w:t>
            </w:r>
          </w:p>
          <w:p w:rsidR="00E524DC" w:rsidRPr="00FA7E90" w:rsidRDefault="00E524DC" w:rsidP="00E524DC">
            <w:pPr>
              <w:spacing w:line="312" w:lineRule="auto"/>
              <w:ind w:right="-1080" w:firstLine="4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Some terms: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Understanding conversation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Reading aloud: “pronouncing punctuation”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Group works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Showing that you want to continue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Telling a story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Understanding small talk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Understanding instructions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Quoting speech</w:t>
            </w:r>
          </w:p>
          <w:p w:rsidR="00604BBC" w:rsidRPr="00DF21AD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524DC" w:rsidRDefault="00E524DC" w:rsidP="00E524DC">
            <w:pPr>
              <w:spacing w:line="312" w:lineRule="auto"/>
              <w:ind w:right="-1080" w:firstLine="48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Conversation</w:t>
            </w:r>
          </w:p>
          <w:p w:rsidR="00E524DC" w:rsidRPr="00FA7E90" w:rsidRDefault="00E524DC" w:rsidP="00E524DC">
            <w:pPr>
              <w:spacing w:line="312" w:lineRule="auto"/>
              <w:ind w:right="-1080" w:firstLine="4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Some terms: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Introduction to emphatic stress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Emphasising added details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Emphasisi</w:t>
            </w:r>
            <w:r w:rsidRPr="00FA7E90">
              <w:rPr>
                <w:sz w:val="26"/>
                <w:szCs w:val="26"/>
                <w:lang w:val="vi-VN"/>
              </w:rPr>
              <w:t>ng important words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Emphasising contrsting alternatives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lastRenderedPageBreak/>
              <w:t>Emphasising corrections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Introducing tones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Asking and checking tones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Tones in asking for information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Continuing or finishing tones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 xml:space="preserve">Agreeing and disagreeing </w:t>
            </w:r>
          </w:p>
          <w:p w:rsidR="00E524DC" w:rsidRPr="00FA7E90" w:rsidRDefault="00E524DC" w:rsidP="00E524DC">
            <w:pPr>
              <w:numPr>
                <w:ilvl w:val="1"/>
                <w:numId w:val="4"/>
              </w:num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 w:rsidRPr="00FA7E90">
              <w:rPr>
                <w:sz w:val="26"/>
                <w:szCs w:val="26"/>
                <w:lang w:val="vi-VN"/>
              </w:rPr>
              <w:t>High tones</w:t>
            </w:r>
          </w:p>
          <w:p w:rsidR="00604BBC" w:rsidRPr="00206CCB" w:rsidRDefault="00604BBC" w:rsidP="006B7FEF">
            <w:pPr>
              <w:rPr>
                <w:lang w:val="en-GB"/>
              </w:rPr>
            </w:pPr>
          </w:p>
        </w:tc>
      </w:tr>
      <w:tr w:rsidR="00604BB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04BBC" w:rsidRDefault="00604BB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13</w:t>
            </w:r>
          </w:p>
        </w:tc>
        <w:tc>
          <w:tcPr>
            <w:tcW w:w="6804" w:type="dxa"/>
            <w:shd w:val="clear" w:color="auto" w:fill="auto"/>
          </w:tcPr>
          <w:p w:rsidR="00E524DC" w:rsidRPr="00AE7A0F" w:rsidRDefault="00E524DC" w:rsidP="00E524DC">
            <w:pPr>
              <w:spacing w:line="312" w:lineRule="auto"/>
              <w:rPr>
                <w:b/>
                <w:sz w:val="26"/>
                <w:szCs w:val="26"/>
              </w:rPr>
            </w:pPr>
            <w:r w:rsidRPr="00AE7A0F">
              <w:rPr>
                <w:b/>
                <w:sz w:val="26"/>
                <w:szCs w:val="26"/>
              </w:rPr>
              <w:t>Focus on Function of Intonation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 and function of intonation.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Tone and tone languages.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Complex tones and pitch height.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 functions of English tones.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tone unit.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structure of the tone unit.</w:t>
            </w:r>
          </w:p>
          <w:p w:rsidR="00E524DC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Pitch possibilities in the simple tone unit.</w:t>
            </w:r>
          </w:p>
          <w:p w:rsidR="00E524DC" w:rsidRPr="00120D2D" w:rsidRDefault="00E524DC" w:rsidP="00E524DC">
            <w:pPr>
              <w:numPr>
                <w:ilvl w:val="0"/>
                <w:numId w:val="5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Fall-rise and rise-fall tones followed by a tail.</w:t>
            </w:r>
          </w:p>
          <w:p w:rsidR="00604BBC" w:rsidRPr="00E524DC" w:rsidRDefault="00604BBC" w:rsidP="006B7FEF"/>
        </w:tc>
      </w:tr>
      <w:tr w:rsidR="00E524DC" w:rsidRPr="00DF21AD" w:rsidTr="00604BBC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E524DC" w:rsidRDefault="00E524DC" w:rsidP="006B7F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E524DC" w:rsidRPr="00D07DA0" w:rsidRDefault="00E524DC" w:rsidP="00E524DC">
            <w:pPr>
              <w:spacing w:line="312" w:lineRule="auto"/>
              <w:rPr>
                <w:b/>
                <w:sz w:val="26"/>
                <w:szCs w:val="26"/>
              </w:rPr>
            </w:pPr>
            <w:r w:rsidRPr="00D07DA0">
              <w:rPr>
                <w:b/>
                <w:sz w:val="26"/>
                <w:szCs w:val="26"/>
              </w:rPr>
              <w:t>Further areas of study in phonetics and phonology.</w:t>
            </w:r>
          </w:p>
          <w:p w:rsidR="00E524DC" w:rsidRDefault="00E524DC" w:rsidP="00E524DC">
            <w:pPr>
              <w:numPr>
                <w:ilvl w:val="0"/>
                <w:numId w:val="6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Distinctive features.</w:t>
            </w:r>
          </w:p>
          <w:p w:rsidR="00E524DC" w:rsidRDefault="00E524DC" w:rsidP="00E524DC">
            <w:pPr>
              <w:numPr>
                <w:ilvl w:val="0"/>
                <w:numId w:val="6"/>
              </w:num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Experimental phonetics.</w:t>
            </w:r>
          </w:p>
          <w:p w:rsidR="00E524DC" w:rsidRPr="00D07DA0" w:rsidRDefault="00E524DC" w:rsidP="00E524DC">
            <w:pPr>
              <w:numPr>
                <w:ilvl w:val="0"/>
                <w:numId w:val="6"/>
              </w:num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The study of variety.</w:t>
            </w:r>
          </w:p>
          <w:p w:rsidR="00E524DC" w:rsidRPr="00AF30FE" w:rsidRDefault="00E524DC" w:rsidP="006B7FEF">
            <w:pPr>
              <w:rPr>
                <w:color w:val="000000"/>
              </w:rPr>
            </w:pPr>
          </w:p>
        </w:tc>
      </w:tr>
    </w:tbl>
    <w:p w:rsidR="00A402A8" w:rsidRDefault="00A402A8" w:rsidP="00A402A8">
      <w:pPr>
        <w:rPr>
          <w:b/>
        </w:rPr>
      </w:pPr>
    </w:p>
    <w:p w:rsidR="00A402A8" w:rsidRDefault="00A402A8" w:rsidP="00A402A8">
      <w:pPr>
        <w:rPr>
          <w:b/>
        </w:rPr>
      </w:pPr>
      <w:r>
        <w:rPr>
          <w:b/>
        </w:rPr>
        <w:t xml:space="preserve">VI. </w:t>
      </w:r>
      <w:r w:rsidRPr="00037641">
        <w:rPr>
          <w:b/>
        </w:rPr>
        <w:t>Assessment</w:t>
      </w:r>
    </w:p>
    <w:p w:rsidR="00A402A8" w:rsidRPr="00E234AA" w:rsidRDefault="00A402A8" w:rsidP="00A402A8">
      <w:pPr>
        <w:rPr>
          <w:rStyle w:val="a1"/>
          <w:b/>
          <w:i/>
        </w:rPr>
      </w:pPr>
      <w:r w:rsidRPr="00E234AA">
        <w:rPr>
          <w:rStyle w:val="a1"/>
          <w:b/>
          <w:i/>
        </w:rPr>
        <w:t>1. Course policies</w:t>
      </w:r>
    </w:p>
    <w:p w:rsidR="00A402A8" w:rsidRDefault="00A402A8" w:rsidP="00A402A8">
      <w:pPr>
        <w:jc w:val="both"/>
        <w:rPr>
          <w:color w:val="FF0000"/>
        </w:rPr>
      </w:pPr>
      <w:r w:rsidRPr="00656FF0">
        <w:t xml:space="preserve">Anyone who is absent from class for over 20% of total time will not be allowed to take </w:t>
      </w:r>
      <w:r>
        <w:t>the final</w:t>
      </w:r>
      <w:r w:rsidRPr="00656FF0">
        <w:t xml:space="preserve"> exam</w:t>
      </w:r>
      <w:r>
        <w:t>. Students are required to participate in all inside and outside classroom activities as well as submit all the homework. Students are also required to take all the on-going tests and presentation.</w:t>
      </w:r>
    </w:p>
    <w:p w:rsidR="00A402A8" w:rsidRDefault="00A402A8" w:rsidP="00A402A8">
      <w:pPr>
        <w:spacing w:before="120"/>
        <w:jc w:val="both"/>
        <w:rPr>
          <w:b/>
          <w:i/>
        </w:rPr>
      </w:pPr>
      <w:r w:rsidRPr="002E339C">
        <w:rPr>
          <w:b/>
          <w:i/>
        </w:rPr>
        <w:t xml:space="preserve">2. Assessment </w:t>
      </w:r>
      <w:r>
        <w:rPr>
          <w:b/>
          <w:i/>
        </w:rPr>
        <w:t>details</w:t>
      </w:r>
    </w:p>
    <w:tbl>
      <w:tblPr>
        <w:tblStyle w:val="TableGrid"/>
        <w:tblW w:w="9684" w:type="dxa"/>
        <w:tblInd w:w="-113" w:type="dxa"/>
        <w:tblLook w:val="04A0" w:firstRow="1" w:lastRow="0" w:firstColumn="1" w:lastColumn="0" w:noHBand="0" w:noVBand="1"/>
      </w:tblPr>
      <w:tblGrid>
        <w:gridCol w:w="1390"/>
        <w:gridCol w:w="1695"/>
        <w:gridCol w:w="1568"/>
        <w:gridCol w:w="1283"/>
        <w:gridCol w:w="3748"/>
      </w:tblGrid>
      <w:tr w:rsidR="00A402A8" w:rsidRPr="00C4429A" w:rsidTr="006B7FEF">
        <w:trPr>
          <w:trHeight w:val="403"/>
        </w:trPr>
        <w:tc>
          <w:tcPr>
            <w:tcW w:w="1390" w:type="dxa"/>
            <w:vAlign w:val="center"/>
          </w:tcPr>
          <w:p w:rsidR="00A402A8" w:rsidRPr="00F5787B" w:rsidRDefault="00A402A8" w:rsidP="006B7FEF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Assessment Task</w:t>
            </w:r>
          </w:p>
        </w:tc>
        <w:tc>
          <w:tcPr>
            <w:tcW w:w="1695" w:type="dxa"/>
            <w:vAlign w:val="center"/>
          </w:tcPr>
          <w:p w:rsidR="00A402A8" w:rsidRPr="00F5787B" w:rsidRDefault="00A402A8" w:rsidP="006B7FEF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 xml:space="preserve">Assessment </w:t>
            </w:r>
            <w:r>
              <w:rPr>
                <w:b/>
                <w:bCs/>
              </w:rPr>
              <w:t>Form</w:t>
            </w:r>
          </w:p>
        </w:tc>
        <w:tc>
          <w:tcPr>
            <w:tcW w:w="1568" w:type="dxa"/>
            <w:vAlign w:val="center"/>
          </w:tcPr>
          <w:p w:rsidR="00A402A8" w:rsidRPr="00F5787B" w:rsidRDefault="00A402A8" w:rsidP="006B7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83" w:type="dxa"/>
            <w:vAlign w:val="center"/>
          </w:tcPr>
          <w:p w:rsidR="00A402A8" w:rsidRPr="00F5787B" w:rsidRDefault="00A402A8" w:rsidP="006B7FEF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Weighting</w:t>
            </w:r>
          </w:p>
        </w:tc>
        <w:tc>
          <w:tcPr>
            <w:tcW w:w="3748" w:type="dxa"/>
            <w:vAlign w:val="center"/>
          </w:tcPr>
          <w:p w:rsidR="00A402A8" w:rsidRPr="00F5787B" w:rsidRDefault="00A402A8" w:rsidP="006B7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A402A8" w:rsidRPr="00C4429A" w:rsidTr="006B7FEF">
        <w:trPr>
          <w:trHeight w:val="562"/>
        </w:trPr>
        <w:tc>
          <w:tcPr>
            <w:tcW w:w="1390" w:type="dxa"/>
            <w:vMerge w:val="restart"/>
            <w:vAlign w:val="center"/>
          </w:tcPr>
          <w:p w:rsidR="00A402A8" w:rsidRPr="000E74D4" w:rsidRDefault="00A402A8" w:rsidP="006B7FEF">
            <w:pPr>
              <w:jc w:val="center"/>
              <w:rPr>
                <w:bCs/>
              </w:rPr>
            </w:pPr>
            <w:r w:rsidRPr="000E74D4">
              <w:rPr>
                <w:bCs/>
              </w:rPr>
              <w:t>On-going assessment</w:t>
            </w:r>
          </w:p>
        </w:tc>
        <w:tc>
          <w:tcPr>
            <w:tcW w:w="1695" w:type="dxa"/>
          </w:tcPr>
          <w:p w:rsidR="00A402A8" w:rsidRPr="00C4429A" w:rsidRDefault="00A402A8" w:rsidP="005B191C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4429A">
              <w:rPr>
                <w:bCs/>
              </w:rPr>
              <w:t>Attendance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  <w:r>
              <w:rPr>
                <w:bCs/>
              </w:rPr>
              <w:t xml:space="preserve"> </w:t>
            </w:r>
          </w:p>
        </w:tc>
        <w:tc>
          <w:tcPr>
            <w:tcW w:w="1568" w:type="dxa"/>
          </w:tcPr>
          <w:p w:rsidR="00A402A8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 w:val="restart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4429A">
              <w:rPr>
                <w:bCs/>
              </w:rPr>
              <w:t>0%</w:t>
            </w:r>
          </w:p>
        </w:tc>
        <w:tc>
          <w:tcPr>
            <w:tcW w:w="3748" w:type="dxa"/>
          </w:tcPr>
          <w:p w:rsidR="00A402A8" w:rsidRPr="00C4429A" w:rsidRDefault="00A402A8" w:rsidP="006B7FEF">
            <w:pPr>
              <w:rPr>
                <w:bCs/>
              </w:rPr>
            </w:pPr>
            <w:r>
              <w:rPr>
                <w:bCs/>
              </w:rPr>
              <w:t>Weekly a</w:t>
            </w:r>
            <w:r w:rsidRPr="00C4429A">
              <w:rPr>
                <w:bCs/>
              </w:rPr>
              <w:t>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</w:p>
        </w:tc>
      </w:tr>
      <w:tr w:rsidR="00A402A8" w:rsidRPr="00C4429A" w:rsidTr="006B7FEF">
        <w:trPr>
          <w:trHeight w:val="303"/>
        </w:trPr>
        <w:tc>
          <w:tcPr>
            <w:tcW w:w="1390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02A8" w:rsidRPr="00C4429A" w:rsidRDefault="00A402A8" w:rsidP="006B7FEF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4429A">
              <w:rPr>
                <w:bCs/>
              </w:rPr>
              <w:t>Mini-test 1</w:t>
            </w:r>
          </w:p>
        </w:tc>
        <w:tc>
          <w:tcPr>
            <w:tcW w:w="1568" w:type="dxa"/>
          </w:tcPr>
          <w:p w:rsidR="00A402A8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content 3</w:t>
            </w:r>
          </w:p>
        </w:tc>
        <w:tc>
          <w:tcPr>
            <w:tcW w:w="1283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02A8" w:rsidRPr="00C4429A" w:rsidRDefault="005B191C" w:rsidP="006B7FEF">
            <w:pPr>
              <w:rPr>
                <w:bCs/>
              </w:rPr>
            </w:pPr>
            <w:r>
              <w:rPr>
                <w:bCs/>
              </w:rPr>
              <w:t>Video recording</w:t>
            </w:r>
          </w:p>
        </w:tc>
      </w:tr>
      <w:tr w:rsidR="00A402A8" w:rsidRPr="00C4429A" w:rsidTr="006B7FEF">
        <w:trPr>
          <w:trHeight w:val="403"/>
        </w:trPr>
        <w:tc>
          <w:tcPr>
            <w:tcW w:w="1390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02A8" w:rsidRPr="00C4429A" w:rsidRDefault="00A402A8" w:rsidP="006B7FEF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4429A">
              <w:rPr>
                <w:bCs/>
              </w:rPr>
              <w:t>Mini-test 2</w:t>
            </w:r>
          </w:p>
        </w:tc>
        <w:tc>
          <w:tcPr>
            <w:tcW w:w="1568" w:type="dxa"/>
          </w:tcPr>
          <w:p w:rsidR="00A402A8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content 9</w:t>
            </w:r>
          </w:p>
        </w:tc>
        <w:tc>
          <w:tcPr>
            <w:tcW w:w="1283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02A8" w:rsidRPr="00C4429A" w:rsidRDefault="005B191C" w:rsidP="006B7FEF">
            <w:pPr>
              <w:rPr>
                <w:bCs/>
              </w:rPr>
            </w:pPr>
            <w:r>
              <w:rPr>
                <w:bCs/>
              </w:rPr>
              <w:t>Video recording</w:t>
            </w:r>
          </w:p>
        </w:tc>
      </w:tr>
      <w:tr w:rsidR="00A402A8" w:rsidRPr="00C4429A" w:rsidTr="006B7FEF">
        <w:trPr>
          <w:trHeight w:val="403"/>
        </w:trPr>
        <w:tc>
          <w:tcPr>
            <w:tcW w:w="1390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A402A8" w:rsidRDefault="00A402A8" w:rsidP="006B7FEF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B86E7C">
              <w:rPr>
                <w:bCs/>
              </w:rPr>
              <w:t>Presentation</w:t>
            </w:r>
          </w:p>
        </w:tc>
        <w:tc>
          <w:tcPr>
            <w:tcW w:w="1568" w:type="dxa"/>
          </w:tcPr>
          <w:p w:rsidR="00A402A8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A402A8" w:rsidRPr="00C4429A" w:rsidRDefault="005B191C" w:rsidP="006B7FEF">
            <w:pPr>
              <w:rPr>
                <w:bCs/>
              </w:rPr>
            </w:pPr>
            <w:r w:rsidRPr="000E74D4">
              <w:rPr>
                <w:bCs/>
              </w:rPr>
              <w:t>G</w:t>
            </w:r>
            <w:r>
              <w:rPr>
                <w:bCs/>
              </w:rPr>
              <w:t>roup work</w:t>
            </w:r>
          </w:p>
        </w:tc>
      </w:tr>
      <w:tr w:rsidR="00A402A8" w:rsidRPr="00C4429A" w:rsidTr="006B7FEF">
        <w:trPr>
          <w:trHeight w:val="403"/>
        </w:trPr>
        <w:tc>
          <w:tcPr>
            <w:tcW w:w="1390" w:type="dxa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Midcourse test</w:t>
            </w:r>
          </w:p>
        </w:tc>
        <w:tc>
          <w:tcPr>
            <w:tcW w:w="1695" w:type="dxa"/>
            <w:vAlign w:val="center"/>
          </w:tcPr>
          <w:p w:rsidR="00A402A8" w:rsidRDefault="00604BBC" w:rsidP="006B7FEF">
            <w:pPr>
              <w:rPr>
                <w:bCs/>
              </w:rPr>
            </w:pPr>
            <w:r>
              <w:rPr>
                <w:bCs/>
              </w:rPr>
              <w:t>Oral</w:t>
            </w:r>
            <w:r w:rsidR="00A402A8">
              <w:rPr>
                <w:bCs/>
              </w:rPr>
              <w:t xml:space="preserve"> test</w:t>
            </w:r>
          </w:p>
        </w:tc>
        <w:tc>
          <w:tcPr>
            <w:tcW w:w="1568" w:type="dxa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After content 6</w:t>
            </w:r>
          </w:p>
        </w:tc>
        <w:tc>
          <w:tcPr>
            <w:tcW w:w="1283" w:type="dxa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3748" w:type="dxa"/>
          </w:tcPr>
          <w:p w:rsidR="00A402A8" w:rsidRPr="003756AE" w:rsidRDefault="00A402A8" w:rsidP="006B7FEF">
            <w:pPr>
              <w:widowControl w:val="0"/>
              <w:spacing w:line="264" w:lineRule="auto"/>
              <w:contextualSpacing/>
            </w:pPr>
          </w:p>
          <w:p w:rsidR="00550717" w:rsidRPr="00550717" w:rsidRDefault="00A402A8" w:rsidP="00550717">
            <w:pPr>
              <w:widowControl w:val="0"/>
              <w:spacing w:line="264" w:lineRule="auto"/>
              <w:contextualSpacing/>
            </w:pPr>
            <w:r>
              <w:t>1.</w:t>
            </w:r>
            <w:r w:rsidR="005B191C">
              <w:t>T</w:t>
            </w:r>
            <w:r w:rsidR="00550717">
              <w:rPr>
                <w:bCs/>
              </w:rPr>
              <w:t>h</w:t>
            </w:r>
            <w:r w:rsidR="005B191C">
              <w:t>eory</w:t>
            </w:r>
            <w:r w:rsidR="00550717" w:rsidRPr="00227D06">
              <w:rPr>
                <w:sz w:val="26"/>
                <w:szCs w:val="26"/>
              </w:rPr>
              <w:t>.</w:t>
            </w:r>
          </w:p>
          <w:p w:rsidR="00550717" w:rsidRPr="00227D06" w:rsidRDefault="00550717" w:rsidP="00550717">
            <w:pPr>
              <w:rPr>
                <w:sz w:val="26"/>
                <w:szCs w:val="26"/>
              </w:rPr>
            </w:pPr>
            <w:r>
              <w:rPr>
                <w:bCs/>
              </w:rPr>
              <w:lastRenderedPageBreak/>
              <w:t xml:space="preserve">2. </w:t>
            </w:r>
            <w:r w:rsidRPr="00227D06">
              <w:rPr>
                <w:sz w:val="26"/>
                <w:szCs w:val="26"/>
              </w:rPr>
              <w:t>Read the following words based on their transcription.</w:t>
            </w:r>
          </w:p>
          <w:p w:rsidR="00550717" w:rsidRPr="00C4429A" w:rsidRDefault="00550717" w:rsidP="005B191C">
            <w:pPr>
              <w:widowControl w:val="0"/>
              <w:spacing w:line="264" w:lineRule="auto"/>
              <w:contextualSpacing/>
              <w:rPr>
                <w:bCs/>
              </w:rPr>
            </w:pPr>
            <w:r>
              <w:rPr>
                <w:bCs/>
              </w:rPr>
              <w:t>3.</w:t>
            </w:r>
            <w:r w:rsidRPr="00227D06">
              <w:rPr>
                <w:sz w:val="26"/>
                <w:szCs w:val="26"/>
              </w:rPr>
              <w:t xml:space="preserve"> Read aloud the text.</w:t>
            </w:r>
          </w:p>
          <w:p w:rsidR="00A402A8" w:rsidRPr="00C4429A" w:rsidRDefault="00A402A8" w:rsidP="006B7FEF">
            <w:pPr>
              <w:rPr>
                <w:bCs/>
              </w:rPr>
            </w:pPr>
          </w:p>
        </w:tc>
      </w:tr>
      <w:tr w:rsidR="00A402A8" w:rsidRPr="00C4429A" w:rsidTr="006B7FEF">
        <w:trPr>
          <w:trHeight w:val="403"/>
        </w:trPr>
        <w:tc>
          <w:tcPr>
            <w:tcW w:w="1390" w:type="dxa"/>
            <w:vAlign w:val="center"/>
          </w:tcPr>
          <w:p w:rsidR="00A402A8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Final test</w:t>
            </w:r>
          </w:p>
        </w:tc>
        <w:tc>
          <w:tcPr>
            <w:tcW w:w="1695" w:type="dxa"/>
            <w:vAlign w:val="center"/>
          </w:tcPr>
          <w:p w:rsidR="00A402A8" w:rsidRDefault="00604BBC" w:rsidP="006B7FEF">
            <w:pPr>
              <w:rPr>
                <w:bCs/>
              </w:rPr>
            </w:pPr>
            <w:r>
              <w:rPr>
                <w:bCs/>
              </w:rPr>
              <w:t>Oral</w:t>
            </w:r>
            <w:r w:rsidR="00A402A8">
              <w:rPr>
                <w:bCs/>
              </w:rPr>
              <w:t xml:space="preserve"> test</w:t>
            </w:r>
          </w:p>
        </w:tc>
        <w:tc>
          <w:tcPr>
            <w:tcW w:w="1568" w:type="dxa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After the course</w:t>
            </w:r>
          </w:p>
        </w:tc>
        <w:tc>
          <w:tcPr>
            <w:tcW w:w="1283" w:type="dxa"/>
            <w:vAlign w:val="center"/>
          </w:tcPr>
          <w:p w:rsidR="00A402A8" w:rsidRPr="00C4429A" w:rsidRDefault="00A402A8" w:rsidP="006B7FEF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3748" w:type="dxa"/>
          </w:tcPr>
          <w:p w:rsidR="00550717" w:rsidRDefault="00550717" w:rsidP="00550717">
            <w:pPr>
              <w:widowControl w:val="0"/>
              <w:spacing w:line="264" w:lineRule="auto"/>
              <w:contextualSpacing/>
            </w:pPr>
            <w:r>
              <w:t>1.T</w:t>
            </w:r>
            <w:r>
              <w:rPr>
                <w:bCs/>
              </w:rPr>
              <w:t>h</w:t>
            </w:r>
            <w:r>
              <w:t>eory</w:t>
            </w:r>
          </w:p>
          <w:p w:rsidR="00550717" w:rsidRPr="00227D06" w:rsidRDefault="00550717" w:rsidP="00550717">
            <w:pPr>
              <w:rPr>
                <w:sz w:val="26"/>
                <w:szCs w:val="26"/>
              </w:rPr>
            </w:pPr>
            <w:r>
              <w:t xml:space="preserve">2. </w:t>
            </w:r>
            <w:r w:rsidRPr="00227D06">
              <w:rPr>
                <w:sz w:val="26"/>
                <w:szCs w:val="26"/>
              </w:rPr>
              <w:t>Give the broad transciption including the stress of the following words.</w:t>
            </w:r>
          </w:p>
          <w:p w:rsidR="00550717" w:rsidRPr="00227D06" w:rsidRDefault="00550717" w:rsidP="00550717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3. </w:t>
            </w:r>
            <w:r w:rsidRPr="00227D06">
              <w:rPr>
                <w:sz w:val="26"/>
                <w:szCs w:val="26"/>
              </w:rPr>
              <w:t>Read the following words based on their transcription.</w:t>
            </w:r>
          </w:p>
          <w:p w:rsidR="00550717" w:rsidRDefault="00550717" w:rsidP="00550717">
            <w:pPr>
              <w:widowControl w:val="0"/>
              <w:spacing w:line="264" w:lineRule="auto"/>
              <w:contextualSpacing/>
              <w:rPr>
                <w:sz w:val="26"/>
                <w:szCs w:val="26"/>
              </w:rPr>
            </w:pPr>
            <w:r>
              <w:rPr>
                <w:bCs/>
              </w:rPr>
              <w:t>4.</w:t>
            </w:r>
            <w:r w:rsidRPr="00227D06">
              <w:rPr>
                <w:sz w:val="26"/>
                <w:szCs w:val="26"/>
              </w:rPr>
              <w:t xml:space="preserve"> Read aloud the text.</w:t>
            </w:r>
          </w:p>
          <w:p w:rsidR="00550717" w:rsidRPr="00C4429A" w:rsidRDefault="00550717" w:rsidP="00550717">
            <w:pPr>
              <w:widowControl w:val="0"/>
              <w:spacing w:line="264" w:lineRule="auto"/>
              <w:contextualSpacing/>
              <w:rPr>
                <w:bCs/>
              </w:rPr>
            </w:pPr>
            <w:r>
              <w:rPr>
                <w:sz w:val="26"/>
                <w:szCs w:val="26"/>
              </w:rPr>
              <w:t>5.</w:t>
            </w:r>
            <w:r w:rsidRPr="00227D06">
              <w:rPr>
                <w:sz w:val="26"/>
                <w:szCs w:val="26"/>
              </w:rPr>
              <w:t xml:space="preserve"> Answer examiners’ questions.</w:t>
            </w:r>
          </w:p>
          <w:p w:rsidR="00A402A8" w:rsidRPr="00C4429A" w:rsidRDefault="00A402A8" w:rsidP="006B7FEF">
            <w:pPr>
              <w:rPr>
                <w:bCs/>
              </w:rPr>
            </w:pPr>
          </w:p>
        </w:tc>
      </w:tr>
    </w:tbl>
    <w:p w:rsidR="00A402A8" w:rsidRPr="009560AE" w:rsidRDefault="00A402A8" w:rsidP="00A402A8">
      <w:pPr>
        <w:jc w:val="both"/>
        <w:rPr>
          <w:b/>
        </w:rPr>
      </w:pPr>
    </w:p>
    <w:p w:rsidR="001A74E0" w:rsidRDefault="001A74E0"/>
    <w:sectPr w:rsidR="001A74E0" w:rsidSect="00B34E9D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CA" w:rsidRDefault="00763ECA">
      <w:r>
        <w:separator/>
      </w:r>
    </w:p>
  </w:endnote>
  <w:endnote w:type="continuationSeparator" w:id="0">
    <w:p w:rsidR="00763ECA" w:rsidRDefault="0076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Default="00550717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31" w:rsidRDefault="00763ECA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Pr="00CA6C0A" w:rsidRDefault="00550717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F92CF9">
      <w:rPr>
        <w:rStyle w:val="PageNumber"/>
        <w:noProof/>
      </w:rPr>
      <w:t>1</w:t>
    </w:r>
    <w:r w:rsidRPr="00CA6C0A">
      <w:rPr>
        <w:rStyle w:val="PageNumber"/>
      </w:rPr>
      <w:fldChar w:fldCharType="end"/>
    </w:r>
  </w:p>
  <w:p w:rsidR="005D6931" w:rsidRDefault="00763ECA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CA" w:rsidRDefault="00763ECA">
      <w:r>
        <w:separator/>
      </w:r>
    </w:p>
  </w:footnote>
  <w:footnote w:type="continuationSeparator" w:id="0">
    <w:p w:rsidR="00763ECA" w:rsidRDefault="0076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8E0"/>
    <w:multiLevelType w:val="hybridMultilevel"/>
    <w:tmpl w:val="40683A70"/>
    <w:lvl w:ilvl="0" w:tplc="4F586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85EC1"/>
    <w:multiLevelType w:val="hybridMultilevel"/>
    <w:tmpl w:val="C7300580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05E3"/>
    <w:multiLevelType w:val="hybridMultilevel"/>
    <w:tmpl w:val="FDA431AC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809"/>
    <w:multiLevelType w:val="hybridMultilevel"/>
    <w:tmpl w:val="97B6B0C0"/>
    <w:lvl w:ilvl="0" w:tplc="05E0BDC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002499B"/>
    <w:multiLevelType w:val="hybridMultilevel"/>
    <w:tmpl w:val="A7F27A96"/>
    <w:lvl w:ilvl="0" w:tplc="961AFF96">
      <w:start w:val="1"/>
      <w:numFmt w:val="decimal"/>
      <w:lvlText w:val="%1."/>
      <w:lvlJc w:val="left"/>
      <w:pPr>
        <w:ind w:left="13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BC86B0B"/>
    <w:multiLevelType w:val="hybridMultilevel"/>
    <w:tmpl w:val="90D49A3C"/>
    <w:lvl w:ilvl="0" w:tplc="2A4E810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9392C094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5D"/>
    <w:rsid w:val="001A74E0"/>
    <w:rsid w:val="001E1902"/>
    <w:rsid w:val="00550717"/>
    <w:rsid w:val="005531E1"/>
    <w:rsid w:val="005B191C"/>
    <w:rsid w:val="00604BBC"/>
    <w:rsid w:val="00674093"/>
    <w:rsid w:val="00763ECA"/>
    <w:rsid w:val="00873C69"/>
    <w:rsid w:val="00A402A8"/>
    <w:rsid w:val="00AB5E5D"/>
    <w:rsid w:val="00D8747E"/>
    <w:rsid w:val="00E524DC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21872-DE47-4BD2-8C34-E1B6D00B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40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02A8"/>
  </w:style>
  <w:style w:type="character" w:customStyle="1" w:styleId="a1">
    <w:name w:val="a1"/>
    <w:rsid w:val="00A402A8"/>
    <w:rPr>
      <w:color w:val="008000"/>
    </w:rPr>
  </w:style>
  <w:style w:type="paragraph" w:styleId="ListParagraph">
    <w:name w:val="List Paragraph"/>
    <w:basedOn w:val="Normal"/>
    <w:uiPriority w:val="34"/>
    <w:qFormat/>
    <w:rsid w:val="0060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tguides.mq.edu.au/unit_offerings/136927/unit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Ms. Hoang Minh</cp:lastModifiedBy>
  <cp:revision>2</cp:revision>
  <dcterms:created xsi:type="dcterms:W3CDTF">2021-11-15T22:52:00Z</dcterms:created>
  <dcterms:modified xsi:type="dcterms:W3CDTF">2021-11-15T22:52:00Z</dcterms:modified>
</cp:coreProperties>
</file>