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240" w:lineRule="auto"/>
        <w:ind w:left="-180" w:right="600" w:rightChars="30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BÁO CÁO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TỔNG KẾT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CÔNG TÁC CỐ VẤN HỌC TẬP </w:t>
      </w:r>
    </w:p>
    <w:p>
      <w:pPr>
        <w:spacing w:line="240" w:lineRule="auto"/>
        <w:ind w:left="-180" w:right="600" w:rightChars="30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NĂM HỌC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</w:p>
    <w:p>
      <w:pPr>
        <w:keepNext w:val="0"/>
        <w:keepLines w:val="0"/>
        <w:pageBreakBefore w:val="0"/>
        <w:widowControl/>
        <w:tabs>
          <w:tab w:val="left" w:pos="9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400" w:rightChars="200" w:firstLine="72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9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600" w:rightChars="300" w:firstLine="72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>Ngày 18/06/2022 khoa Tâm lý - Giáo dục đã tiến hành tổng kết công tác CHHT theo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CV số 110/ĐHHĐ - QLĐT ngày 30/05/2022 về việc đánh giá công tác Cố vấn học tập năm học 2021 - 2022 và triển khai công tác CVHT 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</w:rPr>
        <w:t>năm học 202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</w:rPr>
        <w:t>- 202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3. </w:t>
      </w:r>
    </w:p>
    <w:p>
      <w:pPr>
        <w:spacing w:after="0" w:line="360" w:lineRule="auto"/>
        <w:ind w:right="600" w:rightChars="300" w:firstLine="89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6"/>
          <w:lang w:val="da-DK"/>
        </w:rPr>
        <w:t>Năm học 202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6"/>
          <w:lang w:val="en-US"/>
        </w:rPr>
        <w:t>1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6"/>
          <w:lang w:val="da-DK"/>
        </w:rPr>
        <w:t xml:space="preserve"> -202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6"/>
          <w:lang w:val="en-US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color w:val="000000"/>
          <w:sz w:val="26"/>
          <w:lang w:val="da-DK"/>
        </w:rPr>
        <w:t xml:space="preserve"> Công tác CVHT của khoa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  <w:t>đã thực hiện được các nội dung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 sau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en-US"/>
        </w:rPr>
        <w:t>: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  Luôn </w:t>
      </w:r>
      <w:r>
        <w:rPr>
          <w:rFonts w:hint="default"/>
          <w:sz w:val="26"/>
          <w:szCs w:val="28"/>
          <w:lang w:val="en-US"/>
        </w:rPr>
        <w:t xml:space="preserve">coi trọng công tác CVHT cho sinh viên; 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CVHT đã hướng dẫn cho sinh viên cách 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>đăng ký các học phần đầu năm học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>;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>t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>hường xuyên nhắc nhở, hướng dẫn SV về nội qui, qui chế đào tạo của nhà trường  và các qui định khác về nề nếp học tập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; 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 xml:space="preserve">Hầu hết SV trong khoa đều nắm được và thực hiện nghiêm túc các văn bản, qui chế,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>qui định đào tạo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>;</w:t>
      </w:r>
      <w:r>
        <w:rPr>
          <w:rFonts w:hint="default" w:ascii="Times New Roman" w:hAnsi="Times New Roman" w:cs="Times New Roman" w:eastAsiaTheme="minorEastAsia"/>
          <w:b w:val="0"/>
          <w:bCs w:val="0"/>
          <w:sz w:val="26"/>
          <w:szCs w:val="28"/>
          <w:lang w:val="da-DK"/>
        </w:rPr>
        <w:t xml:space="preserve"> 100% SV không vi phạm qui chế thi</w:t>
      </w:r>
      <w:r>
        <w:rPr>
          <w:rFonts w:hint="default" w:ascii="Times New Roman" w:hAnsi="Times New Roman" w:cs="Times New Roman"/>
          <w:b w:val="0"/>
          <w:bCs w:val="0"/>
          <w:sz w:val="26"/>
          <w:szCs w:val="28"/>
          <w:lang w:val="en-US"/>
        </w:rPr>
        <w:t xml:space="preserve">…Tuy nhiên, do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  <w:t xml:space="preserve"> số lượng sinh viên ngành TLH ít ( 16 sinh viên) nên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da-DK"/>
        </w:rPr>
        <w:t xml:space="preserve">ảnh hưởng không nhỏ đến không khí thi đua học tập và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  <w:t xml:space="preserve">tổ chức các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da-DK"/>
        </w:rPr>
        <w:t>hoạt độn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  <w:t xml:space="preserve">g cho sinh viên. </w:t>
      </w:r>
    </w:p>
    <w:p>
      <w:pPr>
        <w:keepNext w:val="0"/>
        <w:keepLines w:val="0"/>
        <w:pageBreakBefore w:val="0"/>
        <w:widowControl/>
        <w:tabs>
          <w:tab w:val="left" w:pos="9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right="600" w:rightChars="300" w:firstLine="18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Cs/>
          <w:color w:val="000000"/>
          <w:sz w:val="26"/>
          <w:lang w:val="da-DK"/>
        </w:rPr>
        <w:t>Nhiệm vụ trong tâm công tác CVHT năm học 202</w:t>
      </w:r>
      <w:r>
        <w:rPr>
          <w:rFonts w:hint="default" w:ascii="Times New Roman" w:hAnsi="Times New Roman" w:cs="Times New Roman"/>
          <w:b w:val="0"/>
          <w:bCs w:val="0"/>
          <w:iCs/>
          <w:color w:val="000000"/>
          <w:sz w:val="26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iCs/>
          <w:color w:val="000000"/>
          <w:sz w:val="26"/>
          <w:lang w:val="da-DK"/>
        </w:rPr>
        <w:t xml:space="preserve"> -202</w:t>
      </w:r>
      <w:r>
        <w:rPr>
          <w:rFonts w:hint="default" w:ascii="Times New Roman" w:hAnsi="Times New Roman" w:cs="Times New Roman"/>
          <w:b w:val="0"/>
          <w:bCs w:val="0"/>
          <w:iCs/>
          <w:color w:val="000000"/>
          <w:sz w:val="26"/>
          <w:lang w:val="en-US"/>
        </w:rPr>
        <w:t xml:space="preserve">3 là: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en-US"/>
        </w:rPr>
        <w:t>B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da-DK"/>
        </w:rPr>
        <w:t>ám sát các quy định của nhà trường để chủ động xây dựng kế hoạch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en-US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da-DK"/>
        </w:rPr>
        <w:t xml:space="preserve"> chỉ đạo, kiểm tra công tác CVHT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en-US"/>
        </w:rPr>
        <w:t>;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da-DK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da-DK"/>
        </w:rPr>
        <w:t xml:space="preserve">Hoàn thành kế hoạch CVHT trong năm học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en-US"/>
        </w:rPr>
        <w:t xml:space="preserve">đã đề ra;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da-DK"/>
        </w:rPr>
        <w:t xml:space="preserve"> Phối hợp tốt với Liên chi đoàn khoa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en-US"/>
        </w:rPr>
        <w:t xml:space="preserve"> để tổ chức các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da-DK"/>
        </w:rPr>
        <w:t xml:space="preserve"> hoạt động 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en-US"/>
        </w:rPr>
        <w:t>cho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da-DK"/>
        </w:rPr>
        <w:t xml:space="preserve"> SV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8"/>
          <w:lang w:val="en-US"/>
        </w:rPr>
        <w:t>; Chỉ đạo Cán bộ CVHT t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da-DK"/>
        </w:rPr>
        <w:t>hực hiện tốt nhiệm vụ được giao</w:t>
      </w:r>
      <w:r>
        <w:rPr>
          <w:rFonts w:hint="default" w:ascii="Times New Roman" w:hAnsi="Times New Roman" w:eastAsia="Times New Roman" w:cs="Times New Roman"/>
          <w:b w:val="0"/>
          <w:bCs w:val="0"/>
          <w:color w:val="222222"/>
          <w:sz w:val="26"/>
          <w:szCs w:val="28"/>
          <w:lang w:val="en-US"/>
        </w:rPr>
        <w:t>…</w:t>
      </w:r>
    </w:p>
    <w:p>
      <w:pPr>
        <w:keepNext w:val="0"/>
        <w:keepLines w:val="0"/>
        <w:pageBreakBefore w:val="0"/>
        <w:widowControl/>
        <w:tabs>
          <w:tab w:val="left" w:pos="9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right="600" w:rightChars="300" w:firstLine="89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600" w:rightChars="300" w:firstLine="720"/>
        <w:jc w:val="both"/>
        <w:textAlignment w:val="auto"/>
        <w:rPr>
          <w:rFonts w:hint="default" w:ascii="Times New Roman" w:hAnsi="Times New Roman" w:cs="Times New Roman" w:eastAsiaTheme="minorEastAsia"/>
          <w:sz w:val="26"/>
          <w:szCs w:val="28"/>
          <w:lang w:val="en-US"/>
        </w:rPr>
      </w:pPr>
    </w:p>
    <w:p>
      <w:pPr>
        <w:ind w:right="800" w:rightChars="400"/>
        <w:rPr>
          <w:rFonts w:hint="default" w:ascii="Times New Roman" w:hAnsi="Times New Roman" w:cs="Times New Roman" w:eastAsiaTheme="minorEastAsia"/>
          <w:sz w:val="26"/>
        </w:rPr>
      </w:pPr>
    </w:p>
    <w:sectPr>
      <w:pgSz w:w="11906" w:h="16838"/>
      <w:pgMar w:top="720" w:right="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6590"/>
    <w:rsid w:val="4B1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2022-06-24T15:29:00Z</dcterms:created>
  <dc:creator>abc</dc:creator>
  <cp:lastModifiedBy>abc</cp:lastModifiedBy>
  <dcterms:modified xsi:type="dcterms:W3CDTF">2022-06-24T16:09:01Z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4308A223A6054A2AABC1A872FA606B91</vt:lpwstr>
  </property>
</Properties>
</file>